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line="1109" w:lineRule="exact" w:before="0"/>
        <w:ind w:left="206" w:right="376" w:firstLine="0"/>
        <w:jc w:val="center"/>
        <w:rPr>
          <w:rFonts w:ascii="方正小标宋_GBK" w:eastAsia="方正小标宋_GBK" w:hint="eastAsia"/>
          <w:sz w:val="72"/>
        </w:rPr>
      </w:pPr>
      <w:r>
        <w:rPr>
          <w:rFonts w:ascii="方正小标宋_GBK" w:eastAsia="方正小标宋_GBK" w:hint="eastAsia"/>
          <w:sz w:val="72"/>
        </w:rPr>
        <w:t>2019 年度</w:t>
      </w:r>
    </w:p>
    <w:p>
      <w:pPr>
        <w:spacing w:line="218" w:lineRule="auto" w:before="19"/>
        <w:ind w:left="213" w:right="376" w:firstLine="0"/>
        <w:jc w:val="center"/>
        <w:rPr>
          <w:rFonts w:ascii="方正小标宋_GBK" w:eastAsia="方正小标宋_GBK" w:hint="eastAsia"/>
          <w:sz w:val="72"/>
        </w:rPr>
      </w:pPr>
      <w:r>
        <w:rPr>
          <w:rFonts w:ascii="方正小标宋_GBK" w:eastAsia="方正小标宋_GBK" w:hint="eastAsia"/>
          <w:sz w:val="72"/>
        </w:rPr>
        <w:t>四川省成都市青苏职业中专学校部门决算</w:t>
      </w:r>
    </w:p>
    <w:p>
      <w:pPr>
        <w:spacing w:after="0" w:line="218" w:lineRule="auto"/>
        <w:jc w:val="center"/>
        <w:rPr>
          <w:rFonts w:ascii="方正小标宋_GBK" w:eastAsia="方正小标宋_GBK" w:hint="eastAsia"/>
          <w:sz w:val="72"/>
        </w:rPr>
        <w:sectPr>
          <w:footerReference w:type="default" r:id="rId5"/>
          <w:footerReference w:type="even" r:id="rId6"/>
          <w:type w:val="continuous"/>
          <w:pgSz w:w="11910" w:h="16840"/>
          <w:pgMar w:footer="1384" w:top="1580" w:bottom="1580" w:left="1420" w:right="1240"/>
          <w:pgNumType w:start="1"/>
        </w:sectPr>
      </w:pPr>
    </w:p>
    <w:p>
      <w:pPr>
        <w:pStyle w:val="BodyText"/>
        <w:spacing w:before="5"/>
        <w:rPr>
          <w:rFonts w:ascii="方正小标宋_GBK"/>
          <w:sz w:val="27"/>
        </w:rPr>
      </w:pPr>
    </w:p>
    <w:p>
      <w:pPr>
        <w:tabs>
          <w:tab w:pos="950" w:val="left" w:leader="none"/>
        </w:tabs>
        <w:spacing w:line="811" w:lineRule="exact" w:before="0"/>
        <w:ind w:left="0" w:right="170" w:firstLine="0"/>
        <w:jc w:val="center"/>
        <w:rPr>
          <w:rFonts w:ascii="方正小标宋_GBK" w:eastAsia="方正小标宋_GBK" w:hint="eastAsia"/>
          <w:sz w:val="48"/>
        </w:rPr>
      </w:pPr>
      <w:r>
        <w:rPr>
          <w:rFonts w:ascii="方正小标宋_GBK" w:eastAsia="方正小标宋_GBK" w:hint="eastAsia"/>
          <w:sz w:val="48"/>
        </w:rPr>
        <w:t>目</w:t>
        <w:tab/>
        <w:t>录</w:t>
      </w:r>
    </w:p>
    <w:p>
      <w:pPr>
        <w:spacing w:before="106"/>
        <w:ind w:left="213" w:right="373" w:firstLine="0"/>
        <w:jc w:val="center"/>
        <w:rPr>
          <w:b/>
          <w:sz w:val="28"/>
        </w:rPr>
      </w:pPr>
      <w:r>
        <w:rPr>
          <w:b/>
          <w:sz w:val="28"/>
        </w:rPr>
        <w:t>公开时间：2020 年 11 月 24 日</w:t>
      </w:r>
    </w:p>
    <w:p>
      <w:pPr>
        <w:tabs>
          <w:tab w:pos="8692" w:val="left" w:leader="dot"/>
        </w:tabs>
        <w:spacing w:before="221"/>
        <w:ind w:left="0" w:right="167" w:firstLine="0"/>
        <w:jc w:val="center"/>
        <w:rPr>
          <w:b/>
          <w:sz w:val="28"/>
        </w:rPr>
      </w:pPr>
      <w:hyperlink w:history="true" w:anchor="_bookmark0">
        <w:r>
          <w:rPr>
            <w:b/>
            <w:spacing w:val="-5"/>
            <w:sz w:val="28"/>
          </w:rPr>
          <w:t>第</w:t>
        </w:r>
        <w:r>
          <w:rPr>
            <w:b/>
            <w:spacing w:val="-3"/>
            <w:sz w:val="28"/>
          </w:rPr>
          <w:t>一</w:t>
        </w:r>
        <w:r>
          <w:rPr>
            <w:b/>
            <w:spacing w:val="-5"/>
            <w:sz w:val="28"/>
          </w:rPr>
          <w:t>部</w:t>
        </w:r>
        <w:r>
          <w:rPr>
            <w:b/>
            <w:sz w:val="28"/>
          </w:rPr>
          <w:t>分</w:t>
        </w:r>
        <w:r>
          <w:rPr>
            <w:b/>
            <w:spacing w:val="7"/>
            <w:sz w:val="28"/>
          </w:rPr>
          <w:t> </w:t>
        </w:r>
        <w:r>
          <w:rPr>
            <w:b/>
            <w:spacing w:val="-5"/>
            <w:sz w:val="28"/>
          </w:rPr>
          <w:t>单</w:t>
        </w:r>
        <w:r>
          <w:rPr>
            <w:b/>
            <w:spacing w:val="-3"/>
            <w:sz w:val="28"/>
          </w:rPr>
          <w:t>位</w:t>
        </w:r>
        <w:r>
          <w:rPr>
            <w:b/>
            <w:spacing w:val="-5"/>
            <w:sz w:val="28"/>
          </w:rPr>
          <w:t>概</w:t>
        </w:r>
        <w:r>
          <w:rPr>
            <w:b/>
            <w:sz w:val="28"/>
          </w:rPr>
          <w:t>况</w:t>
          <w:tab/>
          <w:t>4</w:t>
        </w:r>
      </w:hyperlink>
    </w:p>
    <w:p>
      <w:pPr>
        <w:tabs>
          <w:tab w:pos="8075" w:val="left" w:leader="dot"/>
        </w:tabs>
        <w:spacing w:before="130"/>
        <w:ind w:left="0" w:right="287" w:firstLine="0"/>
        <w:jc w:val="right"/>
        <w:rPr>
          <w:rFonts w:ascii="Times New Roman" w:eastAsia="Times New Roman"/>
          <w:sz w:val="28"/>
        </w:rPr>
      </w:pPr>
      <w:hyperlink w:history="true" w:anchor="_bookmark1">
        <w:r>
          <w:rPr>
            <w:spacing w:val="-5"/>
            <w:sz w:val="28"/>
          </w:rPr>
          <w:t>一、基本职能及主</w:t>
        </w:r>
        <w:r>
          <w:rPr>
            <w:spacing w:val="-8"/>
            <w:sz w:val="28"/>
          </w:rPr>
          <w:t>要</w:t>
        </w:r>
        <w:r>
          <w:rPr>
            <w:spacing w:val="-5"/>
            <w:sz w:val="28"/>
          </w:rPr>
          <w:t>工</w:t>
        </w:r>
        <w:r>
          <w:rPr>
            <w:sz w:val="28"/>
          </w:rPr>
          <w:t>作</w:t>
          <w:tab/>
        </w:r>
        <w:r>
          <w:rPr>
            <w:rFonts w:ascii="Times New Roman" w:eastAsia="Times New Roman"/>
            <w:spacing w:val="-1"/>
            <w:sz w:val="28"/>
          </w:rPr>
          <w:t>4</w:t>
        </w:r>
      </w:hyperlink>
    </w:p>
    <w:p>
      <w:pPr>
        <w:tabs>
          <w:tab w:pos="8075" w:val="left" w:leader="dot"/>
        </w:tabs>
        <w:spacing w:before="128"/>
        <w:ind w:left="0" w:right="287" w:firstLine="0"/>
        <w:jc w:val="right"/>
        <w:rPr>
          <w:rFonts w:ascii="Times New Roman" w:eastAsia="Times New Roman"/>
          <w:sz w:val="28"/>
        </w:rPr>
      </w:pPr>
      <w:hyperlink w:history="true" w:anchor="_bookmark2">
        <w:r>
          <w:rPr>
            <w:spacing w:val="-5"/>
            <w:sz w:val="28"/>
          </w:rPr>
          <w:t>二、机构设</w:t>
        </w:r>
        <w:r>
          <w:rPr>
            <w:sz w:val="28"/>
          </w:rPr>
          <w:t>置</w:t>
          <w:tab/>
        </w:r>
        <w:r>
          <w:rPr>
            <w:rFonts w:ascii="Times New Roman" w:eastAsia="Times New Roman"/>
            <w:spacing w:val="-1"/>
            <w:sz w:val="28"/>
          </w:rPr>
          <w:t>4</w:t>
        </w:r>
      </w:hyperlink>
    </w:p>
    <w:p>
      <w:pPr>
        <w:tabs>
          <w:tab w:pos="8707" w:val="left" w:leader="dot"/>
        </w:tabs>
        <w:spacing w:before="221"/>
        <w:ind w:left="0" w:right="279" w:firstLine="0"/>
        <w:jc w:val="right"/>
        <w:rPr>
          <w:b/>
          <w:sz w:val="28"/>
        </w:rPr>
      </w:pPr>
      <w:hyperlink w:history="true" w:anchor="_bookmark3">
        <w:r>
          <w:rPr>
            <w:b/>
            <w:spacing w:val="-5"/>
            <w:sz w:val="28"/>
          </w:rPr>
          <w:t>第</w:t>
        </w:r>
        <w:r>
          <w:rPr>
            <w:b/>
            <w:spacing w:val="-3"/>
            <w:sz w:val="28"/>
          </w:rPr>
          <w:t>二</w:t>
        </w:r>
        <w:r>
          <w:rPr>
            <w:b/>
            <w:spacing w:val="-5"/>
            <w:sz w:val="28"/>
          </w:rPr>
          <w:t>部</w:t>
        </w:r>
        <w:r>
          <w:rPr>
            <w:b/>
            <w:sz w:val="28"/>
          </w:rPr>
          <w:t>分</w:t>
        </w:r>
        <w:r>
          <w:rPr>
            <w:b/>
            <w:spacing w:val="5"/>
            <w:sz w:val="28"/>
          </w:rPr>
          <w:t> </w:t>
        </w:r>
        <w:r>
          <w:rPr>
            <w:b/>
            <w:sz w:val="28"/>
          </w:rPr>
          <w:t>2019</w:t>
        </w:r>
        <w:r>
          <w:rPr>
            <w:b/>
            <w:spacing w:val="-62"/>
            <w:sz w:val="28"/>
          </w:rPr>
          <w:t> </w:t>
        </w:r>
        <w:r>
          <w:rPr>
            <w:b/>
            <w:spacing w:val="-5"/>
            <w:sz w:val="28"/>
          </w:rPr>
          <w:t>年</w:t>
        </w:r>
        <w:r>
          <w:rPr>
            <w:b/>
            <w:spacing w:val="-3"/>
            <w:sz w:val="28"/>
          </w:rPr>
          <w:t>度</w:t>
        </w:r>
        <w:r>
          <w:rPr>
            <w:b/>
            <w:spacing w:val="-5"/>
            <w:sz w:val="28"/>
          </w:rPr>
          <w:t>部</w:t>
        </w:r>
        <w:r>
          <w:rPr>
            <w:b/>
            <w:spacing w:val="-3"/>
            <w:sz w:val="28"/>
          </w:rPr>
          <w:t>门</w:t>
        </w:r>
        <w:r>
          <w:rPr>
            <w:b/>
            <w:spacing w:val="-5"/>
            <w:sz w:val="28"/>
          </w:rPr>
          <w:t>决算</w:t>
        </w:r>
        <w:r>
          <w:rPr>
            <w:b/>
            <w:spacing w:val="-3"/>
            <w:sz w:val="28"/>
          </w:rPr>
          <w:t>情</w:t>
        </w:r>
        <w:r>
          <w:rPr>
            <w:b/>
            <w:spacing w:val="-5"/>
            <w:sz w:val="28"/>
          </w:rPr>
          <w:t>况</w:t>
        </w:r>
        <w:r>
          <w:rPr>
            <w:b/>
            <w:spacing w:val="-3"/>
            <w:sz w:val="28"/>
          </w:rPr>
          <w:t>说</w:t>
        </w:r>
        <w:r>
          <w:rPr>
            <w:b/>
            <w:sz w:val="28"/>
          </w:rPr>
          <w:t>明</w:t>
          <w:tab/>
        </w:r>
        <w:r>
          <w:rPr>
            <w:b/>
            <w:spacing w:val="-1"/>
            <w:sz w:val="28"/>
          </w:rPr>
          <w:t>5</w:t>
        </w:r>
      </w:hyperlink>
    </w:p>
    <w:p>
      <w:pPr>
        <w:tabs>
          <w:tab w:pos="8075" w:val="left" w:leader="dot"/>
        </w:tabs>
        <w:spacing w:before="128"/>
        <w:ind w:left="0" w:right="287" w:firstLine="0"/>
        <w:jc w:val="right"/>
        <w:rPr>
          <w:rFonts w:ascii="Times New Roman" w:eastAsia="Times New Roman"/>
          <w:sz w:val="28"/>
        </w:rPr>
      </w:pPr>
      <w:hyperlink w:history="true" w:anchor="_bookmark4">
        <w:r>
          <w:rPr>
            <w:spacing w:val="-5"/>
            <w:sz w:val="28"/>
          </w:rPr>
          <w:t>一、收入支出决算</w:t>
        </w:r>
        <w:r>
          <w:rPr>
            <w:spacing w:val="-8"/>
            <w:sz w:val="28"/>
          </w:rPr>
          <w:t>总</w:t>
        </w:r>
        <w:r>
          <w:rPr>
            <w:spacing w:val="-5"/>
            <w:sz w:val="28"/>
          </w:rPr>
          <w:t>体情况说</w:t>
        </w:r>
        <w:r>
          <w:rPr>
            <w:sz w:val="28"/>
          </w:rPr>
          <w:t>明</w:t>
          <w:tab/>
        </w:r>
        <w:r>
          <w:rPr>
            <w:rFonts w:ascii="Times New Roman" w:eastAsia="Times New Roman"/>
            <w:spacing w:val="-1"/>
            <w:sz w:val="28"/>
          </w:rPr>
          <w:t>5</w:t>
        </w:r>
      </w:hyperlink>
    </w:p>
    <w:p>
      <w:pPr>
        <w:tabs>
          <w:tab w:pos="8075" w:val="left" w:leader="dot"/>
        </w:tabs>
        <w:spacing w:before="128"/>
        <w:ind w:left="0" w:right="287" w:firstLine="0"/>
        <w:jc w:val="right"/>
        <w:rPr>
          <w:rFonts w:ascii="Times New Roman" w:eastAsia="Times New Roman"/>
          <w:sz w:val="28"/>
        </w:rPr>
      </w:pPr>
      <w:hyperlink w:history="true" w:anchor="_bookmark5">
        <w:r>
          <w:rPr>
            <w:spacing w:val="-5"/>
            <w:sz w:val="28"/>
          </w:rPr>
          <w:t>二、收入决算情况</w:t>
        </w:r>
        <w:r>
          <w:rPr>
            <w:spacing w:val="-8"/>
            <w:sz w:val="28"/>
          </w:rPr>
          <w:t>说</w:t>
        </w:r>
        <w:r>
          <w:rPr>
            <w:sz w:val="28"/>
          </w:rPr>
          <w:t>明</w:t>
          <w:tab/>
        </w:r>
        <w:r>
          <w:rPr>
            <w:rFonts w:ascii="Times New Roman" w:eastAsia="Times New Roman"/>
            <w:spacing w:val="-1"/>
            <w:sz w:val="28"/>
          </w:rPr>
          <w:t>5</w:t>
        </w:r>
      </w:hyperlink>
    </w:p>
    <w:p>
      <w:pPr>
        <w:tabs>
          <w:tab w:pos="8075" w:val="left" w:leader="dot"/>
        </w:tabs>
        <w:spacing w:before="130"/>
        <w:ind w:left="0" w:right="287" w:firstLine="0"/>
        <w:jc w:val="right"/>
        <w:rPr>
          <w:rFonts w:ascii="Times New Roman" w:eastAsia="Times New Roman"/>
          <w:sz w:val="28"/>
        </w:rPr>
      </w:pPr>
      <w:hyperlink w:history="true" w:anchor="_bookmark6">
        <w:r>
          <w:rPr>
            <w:spacing w:val="-5"/>
            <w:sz w:val="28"/>
          </w:rPr>
          <w:t>三、支出决算情况</w:t>
        </w:r>
        <w:r>
          <w:rPr>
            <w:spacing w:val="-8"/>
            <w:sz w:val="28"/>
          </w:rPr>
          <w:t>说</w:t>
        </w:r>
        <w:r>
          <w:rPr>
            <w:sz w:val="28"/>
          </w:rPr>
          <w:t>明</w:t>
          <w:tab/>
        </w:r>
        <w:r>
          <w:rPr>
            <w:rFonts w:ascii="Times New Roman" w:eastAsia="Times New Roman"/>
            <w:spacing w:val="-1"/>
            <w:sz w:val="28"/>
          </w:rPr>
          <w:t>6</w:t>
        </w:r>
      </w:hyperlink>
    </w:p>
    <w:p>
      <w:pPr>
        <w:tabs>
          <w:tab w:pos="8075" w:val="left" w:leader="dot"/>
        </w:tabs>
        <w:spacing w:before="128"/>
        <w:ind w:left="0" w:right="287" w:firstLine="0"/>
        <w:jc w:val="right"/>
        <w:rPr>
          <w:rFonts w:ascii="Times New Roman" w:eastAsia="Times New Roman"/>
          <w:sz w:val="28"/>
        </w:rPr>
      </w:pPr>
      <w:hyperlink w:history="true" w:anchor="_bookmark7">
        <w:r>
          <w:rPr>
            <w:spacing w:val="-5"/>
            <w:sz w:val="28"/>
          </w:rPr>
          <w:t>四、财政拨款收入</w:t>
        </w:r>
        <w:r>
          <w:rPr>
            <w:spacing w:val="-8"/>
            <w:sz w:val="28"/>
          </w:rPr>
          <w:t>支</w:t>
        </w:r>
        <w:r>
          <w:rPr>
            <w:spacing w:val="-5"/>
            <w:sz w:val="28"/>
          </w:rPr>
          <w:t>出决算总体情况说</w:t>
        </w:r>
        <w:r>
          <w:rPr>
            <w:sz w:val="28"/>
          </w:rPr>
          <w:t>明</w:t>
          <w:tab/>
        </w:r>
        <w:r>
          <w:rPr>
            <w:rFonts w:ascii="Times New Roman" w:eastAsia="Times New Roman"/>
            <w:spacing w:val="-1"/>
            <w:sz w:val="28"/>
          </w:rPr>
          <w:t>7</w:t>
        </w:r>
      </w:hyperlink>
    </w:p>
    <w:p>
      <w:pPr>
        <w:tabs>
          <w:tab w:pos="8075" w:val="left" w:leader="dot"/>
        </w:tabs>
        <w:spacing w:before="128"/>
        <w:ind w:left="0" w:right="287" w:firstLine="0"/>
        <w:jc w:val="right"/>
        <w:rPr>
          <w:rFonts w:ascii="Times New Roman" w:eastAsia="Times New Roman"/>
          <w:sz w:val="28"/>
        </w:rPr>
      </w:pPr>
      <w:hyperlink w:history="true" w:anchor="_bookmark8">
        <w:r>
          <w:rPr>
            <w:spacing w:val="-5"/>
            <w:sz w:val="28"/>
          </w:rPr>
          <w:t>五、一般公共预算</w:t>
        </w:r>
        <w:r>
          <w:rPr>
            <w:spacing w:val="-8"/>
            <w:sz w:val="28"/>
          </w:rPr>
          <w:t>财</w:t>
        </w:r>
        <w:r>
          <w:rPr>
            <w:spacing w:val="-5"/>
            <w:sz w:val="28"/>
          </w:rPr>
          <w:t>政拨款支出决算情况说</w:t>
        </w:r>
        <w:r>
          <w:rPr>
            <w:sz w:val="28"/>
          </w:rPr>
          <w:t>明</w:t>
          <w:tab/>
        </w:r>
        <w:r>
          <w:rPr>
            <w:rFonts w:ascii="Times New Roman" w:eastAsia="Times New Roman"/>
            <w:spacing w:val="-1"/>
            <w:sz w:val="28"/>
          </w:rPr>
          <w:t>8</w:t>
        </w:r>
      </w:hyperlink>
    </w:p>
    <w:p>
      <w:pPr>
        <w:tabs>
          <w:tab w:pos="7939" w:val="left" w:leader="dot"/>
        </w:tabs>
        <w:spacing w:before="127"/>
        <w:ind w:left="0" w:right="285" w:firstLine="0"/>
        <w:jc w:val="right"/>
        <w:rPr>
          <w:rFonts w:ascii="Times New Roman" w:eastAsia="Times New Roman"/>
          <w:sz w:val="28"/>
        </w:rPr>
      </w:pPr>
      <w:hyperlink w:history="true" w:anchor="_bookmark9">
        <w:r>
          <w:rPr>
            <w:spacing w:val="-5"/>
            <w:sz w:val="28"/>
          </w:rPr>
          <w:t>六、一般公共预算</w:t>
        </w:r>
        <w:r>
          <w:rPr>
            <w:spacing w:val="-8"/>
            <w:sz w:val="28"/>
          </w:rPr>
          <w:t>财</w:t>
        </w:r>
        <w:r>
          <w:rPr>
            <w:spacing w:val="-5"/>
            <w:sz w:val="28"/>
          </w:rPr>
          <w:t>政拨款基本支出决算情况说</w:t>
        </w:r>
        <w:r>
          <w:rPr>
            <w:sz w:val="28"/>
          </w:rPr>
          <w:t>明</w:t>
          <w:tab/>
        </w:r>
        <w:r>
          <w:rPr>
            <w:rFonts w:ascii="Times New Roman" w:eastAsia="Times New Roman"/>
            <w:spacing w:val="-1"/>
            <w:sz w:val="28"/>
          </w:rPr>
          <w:t>10</w:t>
        </w:r>
      </w:hyperlink>
    </w:p>
    <w:p>
      <w:pPr>
        <w:tabs>
          <w:tab w:pos="7939" w:val="left" w:leader="dot"/>
        </w:tabs>
        <w:spacing w:before="131"/>
        <w:ind w:left="0" w:right="285" w:firstLine="0"/>
        <w:jc w:val="right"/>
        <w:rPr>
          <w:rFonts w:ascii="Times New Roman" w:hAnsi="Times New Roman" w:eastAsia="Times New Roman"/>
          <w:sz w:val="28"/>
        </w:rPr>
      </w:pPr>
      <w:hyperlink w:history="true" w:anchor="_bookmark10">
        <w:r>
          <w:rPr>
            <w:spacing w:val="-5"/>
            <w:sz w:val="28"/>
          </w:rPr>
          <w:t>七、“三公”经费财政拨款支出</w:t>
        </w:r>
        <w:r>
          <w:rPr>
            <w:spacing w:val="-8"/>
            <w:sz w:val="28"/>
          </w:rPr>
          <w:t>决</w:t>
        </w:r>
        <w:r>
          <w:rPr>
            <w:spacing w:val="-5"/>
            <w:sz w:val="28"/>
          </w:rPr>
          <w:t>算情况说</w:t>
        </w:r>
        <w:r>
          <w:rPr>
            <w:sz w:val="28"/>
          </w:rPr>
          <w:t>明</w:t>
          <w:tab/>
        </w:r>
        <w:r>
          <w:rPr>
            <w:rFonts w:ascii="Times New Roman" w:hAnsi="Times New Roman" w:eastAsia="Times New Roman"/>
            <w:spacing w:val="-1"/>
            <w:sz w:val="28"/>
          </w:rPr>
          <w:t>10</w:t>
        </w:r>
      </w:hyperlink>
    </w:p>
    <w:p>
      <w:pPr>
        <w:tabs>
          <w:tab w:pos="7939" w:val="left" w:leader="dot"/>
        </w:tabs>
        <w:spacing w:before="127"/>
        <w:ind w:left="0" w:right="285" w:firstLine="0"/>
        <w:jc w:val="right"/>
        <w:rPr>
          <w:rFonts w:ascii="Times New Roman" w:eastAsia="Times New Roman"/>
          <w:sz w:val="28"/>
        </w:rPr>
      </w:pPr>
      <w:hyperlink w:history="true" w:anchor="_bookmark11">
        <w:r>
          <w:rPr>
            <w:spacing w:val="-5"/>
            <w:sz w:val="28"/>
          </w:rPr>
          <w:t>八、政府性基金预</w:t>
        </w:r>
        <w:r>
          <w:rPr>
            <w:spacing w:val="-8"/>
            <w:sz w:val="28"/>
          </w:rPr>
          <w:t>算</w:t>
        </w:r>
        <w:r>
          <w:rPr>
            <w:spacing w:val="-5"/>
            <w:sz w:val="28"/>
          </w:rPr>
          <w:t>支出决算情况说</w:t>
        </w:r>
        <w:r>
          <w:rPr>
            <w:sz w:val="28"/>
          </w:rPr>
          <w:t>明</w:t>
          <w:tab/>
        </w:r>
        <w:r>
          <w:rPr>
            <w:rFonts w:ascii="Times New Roman" w:eastAsia="Times New Roman"/>
            <w:spacing w:val="-1"/>
            <w:sz w:val="28"/>
          </w:rPr>
          <w:t>12</w:t>
        </w:r>
      </w:hyperlink>
    </w:p>
    <w:p>
      <w:pPr>
        <w:tabs>
          <w:tab w:pos="7939" w:val="left" w:leader="dot"/>
        </w:tabs>
        <w:spacing w:before="128"/>
        <w:ind w:left="0" w:right="285" w:firstLine="0"/>
        <w:jc w:val="right"/>
        <w:rPr>
          <w:rFonts w:ascii="Times New Roman" w:eastAsia="Times New Roman"/>
          <w:sz w:val="28"/>
        </w:rPr>
      </w:pPr>
      <w:hyperlink w:history="true" w:anchor="_bookmark12">
        <w:r>
          <w:rPr>
            <w:spacing w:val="-5"/>
            <w:sz w:val="28"/>
          </w:rPr>
          <w:t>九、国有资本经营</w:t>
        </w:r>
        <w:r>
          <w:rPr>
            <w:spacing w:val="-8"/>
            <w:sz w:val="28"/>
          </w:rPr>
          <w:t>预</w:t>
        </w:r>
        <w:r>
          <w:rPr>
            <w:spacing w:val="-5"/>
            <w:sz w:val="28"/>
          </w:rPr>
          <w:t>算支出决算情况说</w:t>
        </w:r>
        <w:r>
          <w:rPr>
            <w:sz w:val="28"/>
          </w:rPr>
          <w:t>明</w:t>
          <w:tab/>
        </w:r>
        <w:r>
          <w:rPr>
            <w:rFonts w:ascii="Times New Roman" w:eastAsia="Times New Roman"/>
            <w:spacing w:val="-1"/>
            <w:sz w:val="28"/>
          </w:rPr>
          <w:t>12</w:t>
        </w:r>
      </w:hyperlink>
    </w:p>
    <w:p>
      <w:pPr>
        <w:tabs>
          <w:tab w:pos="7939" w:val="left" w:leader="dot"/>
        </w:tabs>
        <w:spacing w:before="128"/>
        <w:ind w:left="0" w:right="285" w:firstLine="0"/>
        <w:jc w:val="right"/>
        <w:rPr>
          <w:rFonts w:ascii="Times New Roman" w:eastAsia="Times New Roman"/>
          <w:sz w:val="28"/>
        </w:rPr>
      </w:pPr>
      <w:hyperlink w:history="true" w:anchor="_bookmark13">
        <w:r>
          <w:rPr>
            <w:spacing w:val="-5"/>
            <w:sz w:val="28"/>
          </w:rPr>
          <w:t>十、预算绩效管理</w:t>
        </w:r>
        <w:r>
          <w:rPr>
            <w:spacing w:val="-8"/>
            <w:sz w:val="28"/>
          </w:rPr>
          <w:t>情</w:t>
        </w:r>
        <w:r>
          <w:rPr>
            <w:spacing w:val="-5"/>
            <w:sz w:val="28"/>
          </w:rPr>
          <w:t>况说</w:t>
        </w:r>
        <w:r>
          <w:rPr>
            <w:sz w:val="28"/>
          </w:rPr>
          <w:t>明</w:t>
          <w:tab/>
        </w:r>
        <w:r>
          <w:rPr>
            <w:rFonts w:ascii="Times New Roman" w:eastAsia="Times New Roman"/>
            <w:spacing w:val="-1"/>
            <w:sz w:val="28"/>
          </w:rPr>
          <w:t>12</w:t>
        </w:r>
      </w:hyperlink>
    </w:p>
    <w:p>
      <w:pPr>
        <w:tabs>
          <w:tab w:pos="7939" w:val="left" w:leader="dot"/>
        </w:tabs>
        <w:spacing w:before="130"/>
        <w:ind w:left="0" w:right="285" w:firstLine="0"/>
        <w:jc w:val="right"/>
        <w:rPr>
          <w:rFonts w:ascii="Times New Roman" w:eastAsia="Times New Roman"/>
          <w:sz w:val="28"/>
        </w:rPr>
      </w:pPr>
      <w:hyperlink w:history="true" w:anchor="_bookmark14">
        <w:r>
          <w:rPr>
            <w:spacing w:val="-5"/>
            <w:sz w:val="28"/>
          </w:rPr>
          <w:t>十一、其他重要事</w:t>
        </w:r>
        <w:r>
          <w:rPr>
            <w:spacing w:val="-8"/>
            <w:sz w:val="28"/>
          </w:rPr>
          <w:t>项</w:t>
        </w:r>
        <w:r>
          <w:rPr>
            <w:spacing w:val="-5"/>
            <w:sz w:val="28"/>
          </w:rPr>
          <w:t>的情况说</w:t>
        </w:r>
        <w:r>
          <w:rPr>
            <w:sz w:val="28"/>
          </w:rPr>
          <w:t>明</w:t>
          <w:tab/>
        </w:r>
        <w:r>
          <w:rPr>
            <w:rFonts w:ascii="Times New Roman" w:eastAsia="Times New Roman"/>
            <w:spacing w:val="-1"/>
            <w:sz w:val="28"/>
          </w:rPr>
          <w:t>13</w:t>
        </w:r>
      </w:hyperlink>
    </w:p>
    <w:p>
      <w:pPr>
        <w:tabs>
          <w:tab w:pos="8515" w:val="left" w:leader="dot"/>
        </w:tabs>
        <w:spacing w:before="221"/>
        <w:ind w:left="0" w:right="281" w:firstLine="0"/>
        <w:jc w:val="right"/>
        <w:rPr>
          <w:b/>
          <w:sz w:val="28"/>
        </w:rPr>
      </w:pPr>
      <w:hyperlink w:history="true" w:anchor="_bookmark15">
        <w:r>
          <w:rPr>
            <w:b/>
            <w:spacing w:val="-5"/>
            <w:sz w:val="28"/>
          </w:rPr>
          <w:t>第</w:t>
        </w:r>
        <w:r>
          <w:rPr>
            <w:b/>
            <w:spacing w:val="-3"/>
            <w:sz w:val="28"/>
          </w:rPr>
          <w:t>三</w:t>
        </w:r>
        <w:r>
          <w:rPr>
            <w:b/>
            <w:spacing w:val="-5"/>
            <w:sz w:val="28"/>
          </w:rPr>
          <w:t>部</w:t>
        </w:r>
        <w:r>
          <w:rPr>
            <w:b/>
            <w:sz w:val="28"/>
          </w:rPr>
          <w:t>分</w:t>
        </w:r>
        <w:r>
          <w:rPr>
            <w:b/>
            <w:spacing w:val="7"/>
            <w:sz w:val="28"/>
          </w:rPr>
          <w:t> </w:t>
        </w:r>
        <w:r>
          <w:rPr>
            <w:b/>
            <w:spacing w:val="-5"/>
            <w:sz w:val="28"/>
          </w:rPr>
          <w:t>名</w:t>
        </w:r>
        <w:r>
          <w:rPr>
            <w:b/>
            <w:spacing w:val="-3"/>
            <w:sz w:val="28"/>
          </w:rPr>
          <w:t>词</w:t>
        </w:r>
        <w:r>
          <w:rPr>
            <w:b/>
            <w:spacing w:val="-5"/>
            <w:sz w:val="28"/>
          </w:rPr>
          <w:t>解</w:t>
        </w:r>
        <w:r>
          <w:rPr>
            <w:b/>
            <w:sz w:val="28"/>
          </w:rPr>
          <w:t>释</w:t>
          <w:tab/>
        </w:r>
        <w:r>
          <w:rPr>
            <w:b/>
            <w:spacing w:val="-1"/>
            <w:w w:val="95"/>
            <w:sz w:val="28"/>
          </w:rPr>
          <w:t>14</w:t>
        </w:r>
      </w:hyperlink>
    </w:p>
    <w:p>
      <w:pPr>
        <w:tabs>
          <w:tab w:pos="1799" w:val="left" w:leader="none"/>
          <w:tab w:pos="8529" w:val="left" w:leader="dot"/>
        </w:tabs>
        <w:spacing w:before="222"/>
        <w:ind w:left="0" w:right="283" w:firstLine="0"/>
        <w:jc w:val="right"/>
        <w:rPr>
          <w:b/>
          <w:sz w:val="28"/>
        </w:rPr>
      </w:pPr>
      <w:hyperlink w:history="true" w:anchor="_bookmark16">
        <w:r>
          <w:rPr>
            <w:b/>
            <w:spacing w:val="-5"/>
            <w:sz w:val="28"/>
          </w:rPr>
          <w:t>第</w:t>
        </w:r>
        <w:r>
          <w:rPr>
            <w:b/>
            <w:spacing w:val="-3"/>
            <w:sz w:val="28"/>
          </w:rPr>
          <w:t>四</w:t>
        </w:r>
        <w:r>
          <w:rPr>
            <w:b/>
            <w:spacing w:val="-5"/>
            <w:sz w:val="28"/>
          </w:rPr>
          <w:t>部</w:t>
        </w:r>
        <w:r>
          <w:rPr>
            <w:b/>
            <w:sz w:val="28"/>
          </w:rPr>
          <w:t>分</w:t>
        </w:r>
        <w:r>
          <w:rPr>
            <w:b/>
            <w:spacing w:val="7"/>
            <w:sz w:val="28"/>
          </w:rPr>
          <w:t> </w:t>
        </w:r>
        <w:r>
          <w:rPr>
            <w:b/>
            <w:sz w:val="28"/>
          </w:rPr>
          <w:t>附</w:t>
          <w:tab/>
          <w:t>件</w:t>
          <w:tab/>
        </w:r>
        <w:r>
          <w:rPr>
            <w:b/>
            <w:spacing w:val="-1"/>
            <w:w w:val="95"/>
            <w:sz w:val="28"/>
          </w:rPr>
          <w:t>16</w:t>
        </w:r>
      </w:hyperlink>
    </w:p>
    <w:p>
      <w:pPr>
        <w:tabs>
          <w:tab w:pos="1799" w:val="left" w:leader="none"/>
          <w:tab w:pos="8570" w:val="left" w:leader="dot"/>
        </w:tabs>
        <w:spacing w:before="221"/>
        <w:ind w:left="0" w:right="280" w:firstLine="0"/>
        <w:jc w:val="right"/>
        <w:rPr>
          <w:b/>
          <w:sz w:val="28"/>
        </w:rPr>
      </w:pPr>
      <w:hyperlink w:history="true" w:anchor="_bookmark17">
        <w:r>
          <w:rPr>
            <w:b/>
            <w:spacing w:val="-5"/>
            <w:sz w:val="28"/>
          </w:rPr>
          <w:t>第</w:t>
        </w:r>
        <w:r>
          <w:rPr>
            <w:b/>
            <w:spacing w:val="-3"/>
            <w:sz w:val="28"/>
          </w:rPr>
          <w:t>五</w:t>
        </w:r>
        <w:r>
          <w:rPr>
            <w:b/>
            <w:spacing w:val="-5"/>
            <w:sz w:val="28"/>
          </w:rPr>
          <w:t>部</w:t>
        </w:r>
        <w:r>
          <w:rPr>
            <w:b/>
            <w:sz w:val="28"/>
          </w:rPr>
          <w:t>分</w:t>
        </w:r>
        <w:r>
          <w:rPr>
            <w:b/>
            <w:spacing w:val="7"/>
            <w:sz w:val="28"/>
          </w:rPr>
          <w:t> </w:t>
        </w:r>
        <w:r>
          <w:rPr>
            <w:b/>
            <w:sz w:val="28"/>
          </w:rPr>
          <w:t>附</w:t>
          <w:tab/>
          <w:t>表</w:t>
          <w:tab/>
        </w:r>
        <w:r>
          <w:rPr>
            <w:b/>
            <w:spacing w:val="-1"/>
            <w:sz w:val="28"/>
          </w:rPr>
          <w:t>22</w:t>
        </w:r>
      </w:hyperlink>
    </w:p>
    <w:p>
      <w:pPr>
        <w:spacing w:after="0"/>
        <w:jc w:val="right"/>
        <w:rPr>
          <w:sz w:val="28"/>
        </w:rPr>
        <w:sectPr>
          <w:pgSz w:w="11910" w:h="16840"/>
          <w:pgMar w:header="0" w:footer="1384" w:top="1580" w:bottom="1580" w:left="1420" w:right="1240"/>
        </w:sectPr>
      </w:pPr>
    </w:p>
    <w:p>
      <w:pPr>
        <w:pStyle w:val="BodyText"/>
        <w:spacing w:before="1"/>
        <w:rPr>
          <w:b/>
          <w:sz w:val="35"/>
        </w:rPr>
      </w:pPr>
    </w:p>
    <w:p>
      <w:pPr>
        <w:spacing w:line="307" w:lineRule="auto" w:before="0"/>
        <w:ind w:left="740" w:right="5741" w:firstLine="0"/>
        <w:jc w:val="left"/>
        <w:rPr>
          <w:sz w:val="28"/>
        </w:rPr>
      </w:pPr>
      <w:bookmarkStart w:name="第一部分 单位概况" w:id="1"/>
      <w:bookmarkEnd w:id="1"/>
      <w:r>
        <w:rPr/>
      </w:r>
      <w:bookmarkStart w:name="_bookmark0" w:id="2"/>
      <w:bookmarkEnd w:id="2"/>
      <w:r>
        <w:rPr/>
      </w:r>
      <w:r>
        <w:rPr>
          <w:spacing w:val="-8"/>
          <w:sz w:val="28"/>
        </w:rPr>
        <w:t>一、收入支出决算总表</w:t>
      </w:r>
      <w:r>
        <w:rPr>
          <w:spacing w:val="-5"/>
          <w:sz w:val="28"/>
        </w:rPr>
        <w:t>二、收入决算表</w:t>
      </w:r>
    </w:p>
    <w:p>
      <w:pPr>
        <w:spacing w:before="3"/>
        <w:ind w:left="740" w:right="0" w:firstLine="0"/>
        <w:jc w:val="left"/>
        <w:rPr>
          <w:sz w:val="28"/>
        </w:rPr>
      </w:pPr>
      <w:r>
        <w:rPr>
          <w:spacing w:val="-5"/>
          <w:sz w:val="28"/>
        </w:rPr>
        <w:t>三、支出决算表</w:t>
      </w:r>
    </w:p>
    <w:p>
      <w:pPr>
        <w:spacing w:line="309" w:lineRule="auto" w:before="128"/>
        <w:ind w:left="740" w:right="4573" w:firstLine="0"/>
        <w:jc w:val="left"/>
        <w:rPr>
          <w:sz w:val="28"/>
        </w:rPr>
      </w:pPr>
      <w:r>
        <w:rPr>
          <w:sz w:val="28"/>
        </w:rPr>
        <w:t>四、财政拨款收入支出决算总表五、财政拨款支出决算明细表</w:t>
      </w:r>
    </w:p>
    <w:p>
      <w:pPr>
        <w:spacing w:line="447" w:lineRule="exact" w:before="0"/>
        <w:ind w:left="740" w:right="0" w:firstLine="0"/>
        <w:jc w:val="left"/>
        <w:rPr>
          <w:sz w:val="28"/>
        </w:rPr>
      </w:pPr>
      <w:r>
        <w:rPr>
          <w:sz w:val="28"/>
        </w:rPr>
        <w:t>六、一般公共预算财政拨款支出决算表</w:t>
      </w:r>
    </w:p>
    <w:p>
      <w:pPr>
        <w:spacing w:line="309" w:lineRule="auto" w:before="128"/>
        <w:ind w:left="740" w:right="3257" w:firstLine="0"/>
        <w:jc w:val="both"/>
        <w:rPr>
          <w:sz w:val="28"/>
        </w:rPr>
      </w:pPr>
      <w:r>
        <w:rPr>
          <w:spacing w:val="-7"/>
          <w:sz w:val="28"/>
        </w:rPr>
        <w:t>七、一般公共预算财政拨款支出决算明细表八、一般公共预算财政拨款基本支出决算表九、一般公共预算财政拨款项目支出决算表</w:t>
      </w:r>
    </w:p>
    <w:p>
      <w:pPr>
        <w:spacing w:line="307" w:lineRule="auto" w:before="0"/>
        <w:ind w:left="740" w:right="2153" w:firstLine="0"/>
        <w:jc w:val="left"/>
        <w:rPr>
          <w:sz w:val="28"/>
        </w:rPr>
      </w:pPr>
      <w:r>
        <w:rPr>
          <w:spacing w:val="-8"/>
          <w:sz w:val="28"/>
        </w:rPr>
        <w:t>十、一般公共预算财政拨款“三公”经费支出决算表</w:t>
      </w:r>
      <w:r>
        <w:rPr>
          <w:spacing w:val="-6"/>
          <w:sz w:val="28"/>
        </w:rPr>
        <w:t>十一、政府性基金预算财政拨款收入支出决算表</w:t>
      </w:r>
    </w:p>
    <w:p>
      <w:pPr>
        <w:spacing w:line="309" w:lineRule="auto" w:before="0"/>
        <w:ind w:left="740" w:right="1601" w:firstLine="0"/>
        <w:jc w:val="left"/>
        <w:rPr>
          <w:sz w:val="28"/>
        </w:rPr>
      </w:pPr>
      <w:r>
        <w:rPr>
          <w:spacing w:val="-7"/>
          <w:sz w:val="28"/>
        </w:rPr>
        <w:t>十二、政府性基金预算财政拨款“三公”经费支出决算表</w:t>
      </w:r>
      <w:r>
        <w:rPr>
          <w:spacing w:val="-6"/>
          <w:sz w:val="28"/>
        </w:rPr>
        <w:t>十三、国有资本经营预算支出决算表</w:t>
      </w:r>
    </w:p>
    <w:p>
      <w:pPr>
        <w:spacing w:after="0" w:line="309" w:lineRule="auto"/>
        <w:jc w:val="left"/>
        <w:rPr>
          <w:sz w:val="28"/>
        </w:rPr>
        <w:sectPr>
          <w:pgSz w:w="11910" w:h="16840"/>
          <w:pgMar w:header="0" w:footer="1384" w:top="1580" w:bottom="1580" w:left="1420" w:right="1240"/>
        </w:sectPr>
      </w:pPr>
    </w:p>
    <w:p>
      <w:pPr>
        <w:pStyle w:val="BodyText"/>
        <w:rPr>
          <w:sz w:val="20"/>
        </w:rPr>
      </w:pPr>
    </w:p>
    <w:p>
      <w:pPr>
        <w:pStyle w:val="BodyText"/>
        <w:spacing w:before="11"/>
        <w:rPr>
          <w:sz w:val="11"/>
        </w:rPr>
      </w:pPr>
    </w:p>
    <w:p>
      <w:pPr>
        <w:pStyle w:val="BodyText"/>
        <w:spacing w:before="26"/>
        <w:ind w:left="211" w:right="376"/>
        <w:jc w:val="center"/>
        <w:rPr>
          <w:rFonts w:ascii="方正黑体_GBK" w:eastAsia="方正黑体_GBK" w:hint="eastAsia"/>
        </w:rPr>
      </w:pPr>
      <w:r>
        <w:rPr>
          <w:rFonts w:ascii="方正黑体_GBK" w:eastAsia="方正黑体_GBK" w:hint="eastAsia"/>
        </w:rPr>
        <w:t>第一部分 单位概况</w:t>
      </w:r>
    </w:p>
    <w:p>
      <w:pPr>
        <w:pStyle w:val="BodyText"/>
        <w:spacing w:before="7"/>
        <w:rPr>
          <w:rFonts w:ascii="方正黑体_GBK"/>
          <w:sz w:val="41"/>
        </w:rPr>
      </w:pPr>
    </w:p>
    <w:p>
      <w:pPr>
        <w:pStyle w:val="BodyText"/>
        <w:spacing w:before="1"/>
        <w:ind w:left="740"/>
        <w:rPr>
          <w:rFonts w:ascii="方正黑体_GBK" w:eastAsia="方正黑体_GBK" w:hint="eastAsia"/>
        </w:rPr>
      </w:pPr>
      <w:bookmarkStart w:name="一、基本职能及主要工作" w:id="3"/>
      <w:bookmarkEnd w:id="3"/>
      <w:r>
        <w:rPr/>
      </w:r>
      <w:bookmarkStart w:name="_bookmark1" w:id="4"/>
      <w:bookmarkEnd w:id="4"/>
      <w:r>
        <w:rPr/>
      </w:r>
      <w:r>
        <w:rPr>
          <w:rFonts w:ascii="方正黑体_GBK" w:eastAsia="方正黑体_GBK" w:hint="eastAsia"/>
        </w:rPr>
        <w:t>一、基本职能及主要工作</w:t>
      </w:r>
    </w:p>
    <w:p>
      <w:pPr>
        <w:pStyle w:val="BodyText"/>
        <w:spacing w:before="68"/>
        <w:ind w:left="615"/>
      </w:pPr>
      <w:bookmarkStart w:name="（一）主要职能。" w:id="5"/>
      <w:bookmarkEnd w:id="5"/>
      <w:r>
        <w:rPr/>
      </w:r>
      <w:r>
        <w:rPr/>
        <w:t>（一）主要职能。</w:t>
      </w:r>
    </w:p>
    <w:p>
      <w:pPr>
        <w:spacing w:line="324" w:lineRule="auto" w:before="148"/>
        <w:ind w:left="111" w:right="262" w:firstLine="590"/>
        <w:jc w:val="both"/>
        <w:rPr>
          <w:rFonts w:ascii="仿宋" w:eastAsia="仿宋" w:hint="eastAsia"/>
          <w:sz w:val="30"/>
        </w:rPr>
      </w:pPr>
      <w:r>
        <w:rPr>
          <w:rFonts w:ascii="仿宋" w:eastAsia="仿宋" w:hint="eastAsia"/>
          <w:spacing w:val="-8"/>
          <w:sz w:val="30"/>
        </w:rPr>
        <w:t>贯彻执行国家教育方针，教学标准，对学生进行相应的科学文化</w:t>
      </w:r>
      <w:r>
        <w:rPr>
          <w:rFonts w:ascii="仿宋" w:eastAsia="仿宋" w:hint="eastAsia"/>
          <w:spacing w:val="-9"/>
          <w:sz w:val="30"/>
        </w:rPr>
        <w:t>基础知识的教育。以德治校，以德育人，弘扬科创特色。培养四有新</w:t>
      </w:r>
      <w:r>
        <w:rPr>
          <w:rFonts w:ascii="仿宋" w:eastAsia="仿宋" w:hint="eastAsia"/>
          <w:spacing w:val="-3"/>
          <w:sz w:val="30"/>
        </w:rPr>
        <w:t>人。</w:t>
      </w:r>
    </w:p>
    <w:p>
      <w:pPr>
        <w:pStyle w:val="BodyText"/>
        <w:spacing w:line="434" w:lineRule="exact"/>
        <w:ind w:left="615"/>
      </w:pPr>
      <w:bookmarkStart w:name="（二）2019年重点工作完成情况。" w:id="6"/>
      <w:bookmarkEnd w:id="6"/>
      <w:r>
        <w:rPr/>
      </w:r>
      <w:r>
        <w:rPr/>
        <w:t>（二）</w:t>
      </w:r>
      <w:r>
        <w:rPr>
          <w:rFonts w:ascii="Times New Roman" w:eastAsia="Times New Roman"/>
        </w:rPr>
        <w:t>2019 </w:t>
      </w:r>
      <w:r>
        <w:rPr/>
        <w:t>年重点工作完成情况。</w:t>
      </w:r>
    </w:p>
    <w:p>
      <w:pPr>
        <w:spacing w:before="149"/>
        <w:ind w:left="701" w:right="0" w:firstLine="0"/>
        <w:jc w:val="left"/>
        <w:rPr>
          <w:rFonts w:ascii="仿宋" w:eastAsia="仿宋" w:hint="eastAsia"/>
          <w:sz w:val="30"/>
        </w:rPr>
      </w:pPr>
      <w:r>
        <w:rPr>
          <w:rFonts w:ascii="仿宋" w:eastAsia="仿宋" w:hint="eastAsia"/>
          <w:sz w:val="30"/>
        </w:rPr>
        <w:t>1、完成既定的教育教学工作。</w:t>
      </w:r>
    </w:p>
    <w:p>
      <w:pPr>
        <w:spacing w:line="324" w:lineRule="auto" w:before="134"/>
        <w:ind w:left="111" w:right="257" w:firstLine="590"/>
        <w:jc w:val="both"/>
        <w:rPr>
          <w:rFonts w:ascii="仿宋" w:eastAsia="仿宋" w:hint="eastAsia"/>
          <w:sz w:val="30"/>
        </w:rPr>
      </w:pPr>
      <w:r>
        <w:rPr>
          <w:rFonts w:ascii="仿宋" w:eastAsia="仿宋" w:hint="eastAsia"/>
          <w:sz w:val="30"/>
        </w:rPr>
        <w:t>2、我单位严格执行各项财经纪律制度，全面落实预算管理，加</w:t>
      </w:r>
      <w:r>
        <w:rPr>
          <w:rFonts w:ascii="仿宋" w:eastAsia="仿宋" w:hint="eastAsia"/>
          <w:spacing w:val="-8"/>
          <w:sz w:val="30"/>
        </w:rPr>
        <w:t>强会计基础工作，充分发挥财务管理在单位管理中的核心作用，较好</w:t>
      </w:r>
      <w:r>
        <w:rPr>
          <w:rFonts w:ascii="仿宋" w:eastAsia="仿宋" w:hint="eastAsia"/>
          <w:spacing w:val="-5"/>
          <w:sz w:val="30"/>
        </w:rPr>
        <w:t>地完成了各项工作任务，财务管理水平有了大幅度的提高。</w:t>
      </w:r>
    </w:p>
    <w:p>
      <w:pPr>
        <w:spacing w:line="324" w:lineRule="auto" w:before="4"/>
        <w:ind w:left="111" w:right="135" w:firstLine="590"/>
        <w:jc w:val="left"/>
        <w:rPr>
          <w:rFonts w:ascii="仿宋" w:eastAsia="仿宋" w:hint="eastAsia"/>
          <w:sz w:val="30"/>
        </w:rPr>
      </w:pPr>
      <w:r>
        <w:rPr>
          <w:rFonts w:ascii="仿宋" w:eastAsia="仿宋" w:hint="eastAsia"/>
          <w:sz w:val="30"/>
        </w:rPr>
        <w:t>3、在会计核算方面，严格按照政府会计制度要求，按功能科目</w:t>
      </w:r>
      <w:r>
        <w:rPr>
          <w:rFonts w:ascii="仿宋" w:eastAsia="仿宋" w:hint="eastAsia"/>
          <w:spacing w:val="-19"/>
          <w:sz w:val="30"/>
        </w:rPr>
        <w:t>设置会计科目，做到财务账、大平台、部门决算口径一致、核算一致。</w:t>
      </w:r>
    </w:p>
    <w:p>
      <w:pPr>
        <w:pStyle w:val="BodyText"/>
        <w:spacing w:line="427" w:lineRule="exact"/>
        <w:ind w:left="740"/>
        <w:rPr>
          <w:rFonts w:ascii="方正黑体_GBK" w:eastAsia="方正黑体_GBK" w:hint="eastAsia"/>
        </w:rPr>
      </w:pPr>
      <w:bookmarkStart w:name="二、机构设置" w:id="7"/>
      <w:bookmarkEnd w:id="7"/>
      <w:r>
        <w:rPr/>
      </w:r>
      <w:bookmarkStart w:name="_bookmark2" w:id="8"/>
      <w:bookmarkEnd w:id="8"/>
      <w:r>
        <w:rPr/>
      </w:r>
      <w:r>
        <w:rPr>
          <w:rFonts w:ascii="方正黑体_GBK" w:eastAsia="方正黑体_GBK" w:hint="eastAsia"/>
        </w:rPr>
        <w:t>二、机构设置</w:t>
      </w:r>
    </w:p>
    <w:p>
      <w:pPr>
        <w:pStyle w:val="BodyText"/>
        <w:spacing w:line="252" w:lineRule="auto" w:before="109"/>
        <w:ind w:left="111" w:right="104" w:firstLine="628"/>
      </w:pPr>
      <w:r>
        <w:rPr>
          <w:spacing w:val="-3"/>
        </w:rPr>
        <w:t>四川省成都市青苏职业中专学校是一个独立核算单位，学校</w:t>
      </w:r>
      <w:r>
        <w:rPr>
          <w:spacing w:val="-28"/>
        </w:rPr>
        <w:t>内设 </w:t>
      </w:r>
      <w:r>
        <w:rPr>
          <w:rFonts w:ascii="Times New Roman" w:eastAsia="Times New Roman"/>
        </w:rPr>
        <w:t>5 </w:t>
      </w:r>
      <w:r>
        <w:rPr>
          <w:spacing w:val="-16"/>
        </w:rPr>
        <w:t>个处室，分别为分别为德育处、教务处、总务处、办公室、</w:t>
      </w:r>
      <w:r>
        <w:rPr>
          <w:spacing w:val="-5"/>
        </w:rPr>
        <w:t>科研室。</w:t>
      </w:r>
      <w:r>
        <w:rPr>
          <w:rFonts w:ascii="Times New Roman" w:eastAsia="Times New Roman"/>
        </w:rPr>
        <w:t>2019 </w:t>
      </w:r>
      <w:r>
        <w:rPr>
          <w:spacing w:val="-5"/>
        </w:rPr>
        <w:t>年学校机构设置无变动。</w:t>
      </w:r>
    </w:p>
    <w:p>
      <w:pPr>
        <w:spacing w:after="0" w:line="252" w:lineRule="auto"/>
        <w:sectPr>
          <w:pgSz w:w="11910" w:h="16840"/>
          <w:pgMar w:header="0" w:footer="1384" w:top="1580" w:bottom="1580" w:left="1420" w:right="1240"/>
        </w:sectPr>
      </w:pPr>
    </w:p>
    <w:p>
      <w:pPr>
        <w:pStyle w:val="BodyText"/>
        <w:spacing w:before="1"/>
        <w:ind w:left="2711" w:right="3169"/>
        <w:jc w:val="center"/>
        <w:rPr>
          <w:rFonts w:ascii="方正黑体_GBK" w:eastAsia="方正黑体_GBK" w:hint="eastAsia"/>
        </w:rPr>
      </w:pPr>
      <w:bookmarkStart w:name="第二部分 2019年度部门决算情况说明" w:id="9"/>
      <w:bookmarkEnd w:id="9"/>
      <w:r>
        <w:rPr/>
      </w:r>
      <w:bookmarkStart w:name="_bookmark3" w:id="10"/>
      <w:bookmarkEnd w:id="10"/>
      <w:r>
        <w:rPr/>
      </w:r>
      <w:r>
        <w:rPr>
          <w:rFonts w:ascii="方正黑体_GBK" w:eastAsia="方正黑体_GBK" w:hint="eastAsia"/>
        </w:rPr>
        <w:t>第二部分 </w:t>
      </w:r>
      <w:r>
        <w:rPr>
          <w:rFonts w:ascii="Times New Roman" w:eastAsia="Times New Roman"/>
        </w:rPr>
        <w:t>2019 </w:t>
      </w:r>
      <w:r>
        <w:rPr>
          <w:rFonts w:ascii="方正黑体_GBK" w:eastAsia="方正黑体_GBK" w:hint="eastAsia"/>
        </w:rPr>
        <w:t>年度部门决算情况说明</w:t>
      </w:r>
    </w:p>
    <w:p>
      <w:pPr>
        <w:pStyle w:val="BodyText"/>
        <w:spacing w:before="11"/>
        <w:rPr>
          <w:rFonts w:ascii="方正黑体_GBK"/>
          <w:sz w:val="26"/>
        </w:rPr>
      </w:pPr>
    </w:p>
    <w:p>
      <w:pPr>
        <w:pStyle w:val="BodyText"/>
        <w:ind w:left="1240"/>
        <w:rPr>
          <w:rFonts w:ascii="方正黑体_GBK" w:eastAsia="方正黑体_GBK" w:hint="eastAsia"/>
        </w:rPr>
      </w:pPr>
      <w:bookmarkStart w:name="一、收入支出决算总体情况说明" w:id="11"/>
      <w:bookmarkEnd w:id="11"/>
      <w:r>
        <w:rPr/>
      </w:r>
      <w:bookmarkStart w:name="_bookmark4" w:id="12"/>
      <w:bookmarkEnd w:id="12"/>
      <w:r>
        <w:rPr/>
      </w:r>
      <w:r>
        <w:rPr>
          <w:rFonts w:ascii="方正黑体_GBK" w:eastAsia="方正黑体_GBK" w:hint="eastAsia"/>
        </w:rPr>
        <w:t>一、收入支出决算总体情况说明</w:t>
      </w:r>
    </w:p>
    <w:p>
      <w:pPr>
        <w:pStyle w:val="BodyText"/>
        <w:spacing w:line="252" w:lineRule="auto" w:before="35"/>
        <w:ind w:left="600" w:right="1058" w:firstLine="640"/>
        <w:jc w:val="both"/>
      </w:pPr>
      <w:r>
        <w:rPr>
          <w:rFonts w:ascii="Times New Roman" w:eastAsia="Times New Roman"/>
        </w:rPr>
        <w:t>2019 </w:t>
      </w:r>
      <w:r>
        <w:rPr>
          <w:spacing w:val="-5"/>
        </w:rPr>
        <w:t>年度收、支总计 </w:t>
      </w:r>
      <w:r>
        <w:rPr>
          <w:rFonts w:ascii="Times New Roman" w:eastAsia="Times New Roman"/>
        </w:rPr>
        <w:t>3227.44 </w:t>
      </w:r>
      <w:r>
        <w:rPr>
          <w:spacing w:val="-10"/>
        </w:rPr>
        <w:t>万元。与 </w:t>
      </w:r>
      <w:r>
        <w:rPr>
          <w:rFonts w:ascii="Times New Roman" w:eastAsia="Times New Roman"/>
        </w:rPr>
        <w:t>2018 </w:t>
      </w:r>
      <w:r>
        <w:rPr>
          <w:spacing w:val="4"/>
        </w:rPr>
        <w:t>年相比，收、支总</w:t>
      </w:r>
      <w:r>
        <w:rPr>
          <w:spacing w:val="-12"/>
        </w:rPr>
        <w:t>计各增加 </w:t>
      </w:r>
      <w:r>
        <w:rPr>
          <w:rFonts w:ascii="Times New Roman" w:eastAsia="Times New Roman"/>
        </w:rPr>
        <w:t>660.61 </w:t>
      </w:r>
      <w:r>
        <w:rPr>
          <w:spacing w:val="-9"/>
        </w:rPr>
        <w:t>万元，增长 </w:t>
      </w:r>
      <w:r>
        <w:rPr>
          <w:rFonts w:ascii="Times New Roman" w:eastAsia="Times New Roman"/>
        </w:rPr>
        <w:t>25.74%</w:t>
      </w:r>
      <w:r>
        <w:rPr/>
        <w:t>。主要变动原因是安排新增教师人员经费、新增学生公用经费等项目。</w:t>
      </w:r>
    </w:p>
    <w:p>
      <w:pPr>
        <w:pStyle w:val="BodyText"/>
        <w:spacing w:before="3"/>
        <w:rPr>
          <w:sz w:val="14"/>
        </w:rPr>
      </w:pPr>
      <w:r>
        <w:rPr/>
        <w:drawing>
          <wp:anchor distT="0" distB="0" distL="0" distR="0" allowOverlap="1" layoutInCell="1" locked="0" behindDoc="0" simplePos="0" relativeHeight="0">
            <wp:simplePos x="0" y="0"/>
            <wp:positionH relativeFrom="page">
              <wp:posOffset>1207008</wp:posOffset>
            </wp:positionH>
            <wp:positionV relativeFrom="paragraph">
              <wp:posOffset>170203</wp:posOffset>
            </wp:positionV>
            <wp:extent cx="4638014" cy="281435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4638014" cy="2814351"/>
                    </a:xfrm>
                    <a:prstGeom prst="rect">
                      <a:avLst/>
                    </a:prstGeom>
                  </pic:spPr>
                </pic:pic>
              </a:graphicData>
            </a:graphic>
          </wp:anchor>
        </w:drawing>
      </w:r>
    </w:p>
    <w:p>
      <w:pPr>
        <w:pStyle w:val="BodyText"/>
        <w:spacing w:before="128"/>
        <w:ind w:left="1080"/>
      </w:pPr>
      <w:r>
        <w:rPr/>
        <w:t>（图 </w:t>
      </w:r>
      <w:r>
        <w:rPr>
          <w:rFonts w:ascii="Times New Roman" w:eastAsia="Times New Roman"/>
        </w:rPr>
        <w:t>1</w:t>
      </w:r>
      <w:r>
        <w:rPr/>
        <w:t>：收、支决算总计变动情况图）</w:t>
      </w:r>
    </w:p>
    <w:p>
      <w:pPr>
        <w:pStyle w:val="BodyText"/>
        <w:spacing w:before="25"/>
        <w:ind w:left="1240"/>
        <w:rPr>
          <w:rFonts w:ascii="方正黑体_GBK" w:eastAsia="方正黑体_GBK" w:hint="eastAsia"/>
        </w:rPr>
      </w:pPr>
      <w:bookmarkStart w:name="二、收入决算情况说明" w:id="13"/>
      <w:bookmarkEnd w:id="13"/>
      <w:r>
        <w:rPr/>
      </w:r>
      <w:bookmarkStart w:name="_bookmark5" w:id="14"/>
      <w:bookmarkEnd w:id="14"/>
      <w:r>
        <w:rPr/>
      </w:r>
      <w:r>
        <w:rPr>
          <w:rFonts w:ascii="方正黑体_GBK" w:eastAsia="方正黑体_GBK" w:hint="eastAsia"/>
        </w:rPr>
        <w:t>二、收入决算情况说明</w:t>
      </w:r>
    </w:p>
    <w:p>
      <w:pPr>
        <w:pStyle w:val="BodyText"/>
        <w:spacing w:line="252" w:lineRule="auto" w:before="35"/>
        <w:ind w:left="600" w:right="900" w:firstLine="640"/>
      </w:pPr>
      <w:r>
        <w:rPr>
          <w:rFonts w:ascii="Times New Roman" w:eastAsia="Times New Roman"/>
        </w:rPr>
        <w:t>2019</w:t>
      </w:r>
      <w:r>
        <w:rPr>
          <w:rFonts w:ascii="Times New Roman" w:eastAsia="Times New Roman"/>
          <w:spacing w:val="-33"/>
        </w:rPr>
        <w:t> </w:t>
      </w:r>
      <w:r>
        <w:rPr>
          <w:spacing w:val="7"/>
        </w:rPr>
        <w:t>年本年收入合计</w:t>
      </w:r>
      <w:r>
        <w:rPr>
          <w:rFonts w:ascii="Times New Roman" w:eastAsia="Times New Roman"/>
        </w:rPr>
        <w:t>3227.44</w:t>
      </w:r>
      <w:r>
        <w:rPr>
          <w:rFonts w:ascii="Times New Roman" w:eastAsia="Times New Roman"/>
          <w:spacing w:val="-32"/>
        </w:rPr>
        <w:t> </w:t>
      </w:r>
      <w:r>
        <w:rPr>
          <w:spacing w:val="-12"/>
        </w:rPr>
        <w:t>万元，与上年相比增加</w:t>
      </w:r>
      <w:r>
        <w:rPr>
          <w:rFonts w:ascii="Times New Roman" w:eastAsia="Times New Roman"/>
        </w:rPr>
        <w:t>660.61</w:t>
      </w:r>
      <w:r>
        <w:rPr>
          <w:rFonts w:ascii="Times New Roman" w:eastAsia="Times New Roman"/>
          <w:spacing w:val="-32"/>
        </w:rPr>
        <w:t> </w:t>
      </w:r>
      <w:r>
        <w:rPr/>
        <w:t>万元， </w:t>
      </w:r>
      <w:r>
        <w:rPr>
          <w:spacing w:val="-3"/>
        </w:rPr>
        <w:t>主要变动原因：财政拨款收入增加</w:t>
      </w:r>
      <w:r>
        <w:rPr>
          <w:rFonts w:ascii="仿宋" w:eastAsia="仿宋" w:hint="eastAsia"/>
          <w:spacing w:val="-15"/>
        </w:rPr>
        <w:t>。</w:t>
      </w:r>
      <w:r>
        <w:rPr>
          <w:spacing w:val="-4"/>
        </w:rPr>
        <w:t>其中：一般公共预算财政拨款收</w:t>
      </w:r>
      <w:r>
        <w:rPr>
          <w:spacing w:val="-34"/>
        </w:rPr>
        <w:t>入 </w:t>
      </w:r>
      <w:r>
        <w:rPr>
          <w:rFonts w:ascii="Times New Roman" w:eastAsia="Times New Roman"/>
        </w:rPr>
        <w:t>3227.44 </w:t>
      </w:r>
      <w:r>
        <w:rPr>
          <w:spacing w:val="-10"/>
        </w:rPr>
        <w:t>万元，占 </w:t>
      </w:r>
      <w:r>
        <w:rPr>
          <w:rFonts w:ascii="Times New Roman" w:eastAsia="Times New Roman"/>
        </w:rPr>
        <w:t>100%</w:t>
      </w:r>
      <w:r>
        <w:rPr>
          <w:spacing w:val="-15"/>
        </w:rPr>
        <w:t>，增加 </w:t>
      </w:r>
      <w:r>
        <w:rPr>
          <w:rFonts w:ascii="Times New Roman" w:eastAsia="Times New Roman"/>
        </w:rPr>
        <w:t>660.61</w:t>
      </w:r>
      <w:r>
        <w:rPr>
          <w:rFonts w:ascii="Times New Roman" w:eastAsia="Times New Roman"/>
          <w:spacing w:val="3"/>
        </w:rPr>
        <w:t> </w:t>
      </w:r>
      <w:r>
        <w:rPr>
          <w:spacing w:val="3"/>
        </w:rPr>
        <w:t>万元，主要变动原因：财政</w:t>
      </w:r>
      <w:r>
        <w:rPr>
          <w:spacing w:val="-3"/>
        </w:rPr>
        <w:t>拨款收入增加；政府性基金预算财政拨款收入 </w:t>
      </w:r>
      <w:r>
        <w:rPr>
          <w:rFonts w:ascii="Times New Roman" w:eastAsia="Times New Roman"/>
        </w:rPr>
        <w:t>0</w:t>
      </w:r>
      <w:r>
        <w:rPr>
          <w:rFonts w:ascii="Times New Roman" w:eastAsia="Times New Roman"/>
          <w:spacing w:val="-3"/>
        </w:rPr>
        <w:t> </w:t>
      </w:r>
      <w:r>
        <w:rPr>
          <w:spacing w:val="-13"/>
        </w:rPr>
        <w:t>万元，占 </w:t>
      </w:r>
      <w:r>
        <w:rPr>
          <w:rFonts w:ascii="Times New Roman" w:eastAsia="Times New Roman"/>
        </w:rPr>
        <w:t>0%</w:t>
      </w:r>
      <w:r>
        <w:rPr/>
        <w:t>，增加</w:t>
      </w:r>
      <w:r>
        <w:rPr>
          <w:rFonts w:ascii="Times New Roman" w:eastAsia="Times New Roman"/>
        </w:rPr>
        <w:t>/ </w:t>
      </w:r>
      <w:r>
        <w:rPr>
          <w:spacing w:val="-22"/>
        </w:rPr>
        <w:t>减少 </w:t>
      </w:r>
      <w:r>
        <w:rPr>
          <w:rFonts w:ascii="Times New Roman" w:eastAsia="Times New Roman"/>
        </w:rPr>
        <w:t>0</w:t>
      </w:r>
      <w:r>
        <w:rPr>
          <w:rFonts w:ascii="Times New Roman" w:eastAsia="Times New Roman"/>
          <w:spacing w:val="-2"/>
        </w:rPr>
        <w:t> </w:t>
      </w:r>
      <w:r>
        <w:rPr>
          <w:spacing w:val="-3"/>
        </w:rPr>
        <w:t>万元，与上年持平；国有资本经营预算财政拨款收入 </w:t>
      </w:r>
      <w:r>
        <w:rPr>
          <w:rFonts w:ascii="Times New Roman" w:eastAsia="Times New Roman"/>
        </w:rPr>
        <w:t>0</w:t>
      </w:r>
      <w:r>
        <w:rPr>
          <w:rFonts w:ascii="Times New Roman" w:eastAsia="Times New Roman"/>
          <w:spacing w:val="-2"/>
        </w:rPr>
        <w:t> </w:t>
      </w:r>
      <w:r>
        <w:rPr/>
        <w:t>万元， </w:t>
      </w:r>
      <w:r>
        <w:rPr>
          <w:spacing w:val="-31"/>
        </w:rPr>
        <w:t>占 </w:t>
      </w:r>
      <w:r>
        <w:rPr>
          <w:rFonts w:ascii="Times New Roman" w:eastAsia="Times New Roman"/>
          <w:spacing w:val="3"/>
        </w:rPr>
        <w:t>0%</w:t>
      </w:r>
      <w:r>
        <w:rPr>
          <w:spacing w:val="5"/>
        </w:rPr>
        <w:t>，增加</w:t>
      </w:r>
      <w:r>
        <w:rPr>
          <w:rFonts w:ascii="Times New Roman" w:eastAsia="Times New Roman"/>
          <w:spacing w:val="4"/>
        </w:rPr>
        <w:t>/</w:t>
      </w:r>
      <w:r>
        <w:rPr>
          <w:spacing w:val="-19"/>
        </w:rPr>
        <w:t>减少 </w:t>
      </w:r>
      <w:r>
        <w:rPr>
          <w:rFonts w:ascii="Times New Roman" w:eastAsia="Times New Roman"/>
        </w:rPr>
        <w:t>0</w:t>
      </w:r>
      <w:r>
        <w:rPr>
          <w:rFonts w:ascii="Times New Roman" w:eastAsia="Times New Roman"/>
          <w:spacing w:val="3"/>
        </w:rPr>
        <w:t> </w:t>
      </w:r>
      <w:r>
        <w:rPr>
          <w:spacing w:val="-1"/>
        </w:rPr>
        <w:t>万元，与上年持平；事业收入 </w:t>
      </w:r>
      <w:r>
        <w:rPr>
          <w:rFonts w:ascii="Times New Roman" w:eastAsia="Times New Roman"/>
        </w:rPr>
        <w:t>0</w:t>
      </w:r>
      <w:r>
        <w:rPr>
          <w:rFonts w:ascii="Times New Roman" w:eastAsia="Times New Roman"/>
          <w:spacing w:val="2"/>
        </w:rPr>
        <w:t> </w:t>
      </w:r>
      <w:r>
        <w:rPr>
          <w:spacing w:val="-10"/>
        </w:rPr>
        <w:t>万元，占 </w:t>
      </w:r>
      <w:r>
        <w:rPr>
          <w:rFonts w:ascii="Times New Roman" w:eastAsia="Times New Roman"/>
        </w:rPr>
        <w:t>0%</w:t>
      </w:r>
      <w:r>
        <w:rPr/>
        <w:t>； </w:t>
      </w:r>
      <w:r>
        <w:rPr>
          <w:spacing w:val="-13"/>
        </w:rPr>
        <w:t>经营收入 </w:t>
      </w:r>
      <w:r>
        <w:rPr>
          <w:rFonts w:ascii="Times New Roman" w:eastAsia="Times New Roman"/>
        </w:rPr>
        <w:t>0</w:t>
      </w:r>
      <w:r>
        <w:rPr>
          <w:rFonts w:ascii="Times New Roman" w:eastAsia="Times New Roman"/>
          <w:spacing w:val="-2"/>
        </w:rPr>
        <w:t> </w:t>
      </w:r>
      <w:r>
        <w:rPr>
          <w:spacing w:val="-13"/>
        </w:rPr>
        <w:t>万元，占 </w:t>
      </w:r>
      <w:r>
        <w:rPr>
          <w:rFonts w:ascii="Times New Roman" w:eastAsia="Times New Roman"/>
        </w:rPr>
        <w:t>0%</w:t>
      </w:r>
      <w:r>
        <w:rPr/>
        <w:t>，增加</w:t>
      </w:r>
      <w:r>
        <w:rPr>
          <w:rFonts w:ascii="Times New Roman" w:eastAsia="Times New Roman"/>
        </w:rPr>
        <w:t>/</w:t>
      </w:r>
      <w:r>
        <w:rPr>
          <w:spacing w:val="-21"/>
        </w:rPr>
        <w:t>减少 </w:t>
      </w:r>
      <w:r>
        <w:rPr>
          <w:rFonts w:ascii="Times New Roman" w:eastAsia="Times New Roman"/>
        </w:rPr>
        <w:t>0</w:t>
      </w:r>
      <w:r>
        <w:rPr>
          <w:rFonts w:ascii="Times New Roman" w:eastAsia="Times New Roman"/>
          <w:spacing w:val="-1"/>
        </w:rPr>
        <w:t> </w:t>
      </w:r>
      <w:r>
        <w:rPr>
          <w:spacing w:val="-1"/>
        </w:rPr>
        <w:t>万元，与上年持平；附属单位</w:t>
      </w:r>
    </w:p>
    <w:p>
      <w:pPr>
        <w:pStyle w:val="BodyText"/>
        <w:spacing w:line="510" w:lineRule="exact"/>
        <w:ind w:left="600"/>
      </w:pPr>
      <w:r>
        <w:rPr>
          <w:spacing w:val="-13"/>
        </w:rPr>
        <w:t>上缴收入 </w:t>
      </w:r>
      <w:r>
        <w:rPr>
          <w:rFonts w:ascii="Times New Roman" w:eastAsia="Times New Roman"/>
        </w:rPr>
        <w:t>0</w:t>
      </w:r>
      <w:r>
        <w:rPr>
          <w:rFonts w:ascii="Times New Roman" w:eastAsia="Times New Roman"/>
          <w:spacing w:val="-3"/>
        </w:rPr>
        <w:t> </w:t>
      </w:r>
      <w:r>
        <w:rPr>
          <w:spacing w:val="-13"/>
        </w:rPr>
        <w:t>万元，占 </w:t>
      </w:r>
      <w:r>
        <w:rPr>
          <w:rFonts w:ascii="Times New Roman" w:eastAsia="Times New Roman"/>
        </w:rPr>
        <w:t>0%</w:t>
      </w:r>
      <w:r>
        <w:rPr/>
        <w:t>，增加</w:t>
      </w:r>
      <w:r>
        <w:rPr>
          <w:rFonts w:ascii="Times New Roman" w:eastAsia="Times New Roman"/>
        </w:rPr>
        <w:t>/</w:t>
      </w:r>
      <w:r>
        <w:rPr>
          <w:spacing w:val="-22"/>
        </w:rPr>
        <w:t>减少 </w:t>
      </w:r>
      <w:r>
        <w:rPr>
          <w:rFonts w:ascii="Times New Roman" w:eastAsia="Times New Roman"/>
        </w:rPr>
        <w:t>0</w:t>
      </w:r>
      <w:r>
        <w:rPr>
          <w:rFonts w:ascii="Times New Roman" w:eastAsia="Times New Roman"/>
          <w:spacing w:val="-1"/>
        </w:rPr>
        <w:t> </w:t>
      </w:r>
      <w:r>
        <w:rPr>
          <w:spacing w:val="-1"/>
        </w:rPr>
        <w:t>万元，与上年持平；其他收入</w:t>
      </w:r>
    </w:p>
    <w:p>
      <w:pPr>
        <w:spacing w:after="0" w:line="510" w:lineRule="exact"/>
        <w:sectPr>
          <w:footerReference w:type="default" r:id="rId7"/>
          <w:footerReference w:type="even" r:id="rId8"/>
          <w:pgSz w:w="11910" w:h="16840"/>
          <w:pgMar w:footer="1350" w:header="0" w:top="1560" w:bottom="1540" w:left="660" w:right="40"/>
          <w:pgNumType w:start="5"/>
        </w:sectPr>
      </w:pPr>
    </w:p>
    <w:p>
      <w:pPr>
        <w:pStyle w:val="BodyText"/>
        <w:spacing w:before="52"/>
        <w:ind w:left="600"/>
        <w:jc w:val="both"/>
        <w:rPr>
          <w:rFonts w:ascii="仿宋" w:eastAsia="仿宋" w:hint="eastAsia"/>
        </w:rPr>
      </w:pPr>
      <w:r>
        <w:rPr>
          <w:rFonts w:ascii="Times New Roman" w:eastAsia="Times New Roman"/>
        </w:rPr>
        <w:t>0 </w:t>
      </w:r>
      <w:r>
        <w:rPr/>
        <w:t>万元，占 </w:t>
      </w:r>
      <w:r>
        <w:rPr>
          <w:rFonts w:ascii="Times New Roman" w:eastAsia="Times New Roman"/>
        </w:rPr>
        <w:t>0%</w:t>
      </w:r>
      <w:r>
        <w:rPr/>
        <w:t>，增加</w:t>
      </w:r>
      <w:r>
        <w:rPr>
          <w:rFonts w:ascii="Times New Roman" w:eastAsia="Times New Roman"/>
        </w:rPr>
        <w:t>/</w:t>
      </w:r>
      <w:r>
        <w:rPr/>
        <w:t>减少 </w:t>
      </w:r>
      <w:r>
        <w:rPr>
          <w:rFonts w:ascii="Times New Roman" w:eastAsia="Times New Roman"/>
        </w:rPr>
        <w:t>0 </w:t>
      </w:r>
      <w:r>
        <w:rPr/>
        <w:t>万元，与上年持平</w:t>
      </w:r>
      <w:r>
        <w:rPr>
          <w:rFonts w:ascii="仿宋" w:eastAsia="仿宋" w:hint="eastAsia"/>
        </w:rPr>
        <w:t>。</w:t>
      </w:r>
    </w:p>
    <w:p>
      <w:pPr>
        <w:pStyle w:val="BodyText"/>
        <w:spacing w:before="6"/>
        <w:rPr>
          <w:rFonts w:ascii="仿宋"/>
          <w:sz w:val="21"/>
        </w:rPr>
      </w:pPr>
      <w:r>
        <w:rPr/>
        <w:drawing>
          <wp:anchor distT="0" distB="0" distL="0" distR="0" allowOverlap="1" layoutInCell="1" locked="0" behindDoc="0" simplePos="0" relativeHeight="1">
            <wp:simplePos x="0" y="0"/>
            <wp:positionH relativeFrom="page">
              <wp:posOffset>1207008</wp:posOffset>
            </wp:positionH>
            <wp:positionV relativeFrom="paragraph">
              <wp:posOffset>199770</wp:posOffset>
            </wp:positionV>
            <wp:extent cx="4639699" cy="280158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4639699" cy="2801588"/>
                    </a:xfrm>
                    <a:prstGeom prst="rect">
                      <a:avLst/>
                    </a:prstGeom>
                  </pic:spPr>
                </pic:pic>
              </a:graphicData>
            </a:graphic>
          </wp:anchor>
        </w:drawing>
      </w:r>
    </w:p>
    <w:p>
      <w:pPr>
        <w:pStyle w:val="BodyText"/>
        <w:spacing w:before="129"/>
        <w:ind w:left="1080"/>
        <w:jc w:val="both"/>
      </w:pPr>
      <w:r>
        <w:rPr/>
        <w:t>（图 </w:t>
      </w:r>
      <w:r>
        <w:rPr>
          <w:rFonts w:ascii="Times New Roman" w:eastAsia="Times New Roman"/>
        </w:rPr>
        <w:t>2</w:t>
      </w:r>
      <w:r>
        <w:rPr/>
        <w:t>：收入决算结构图）</w:t>
      </w:r>
    </w:p>
    <w:p>
      <w:pPr>
        <w:pStyle w:val="BodyText"/>
        <w:spacing w:before="25"/>
        <w:ind w:left="1240"/>
        <w:rPr>
          <w:rFonts w:ascii="方正黑体_GBK" w:eastAsia="方正黑体_GBK" w:hint="eastAsia"/>
        </w:rPr>
      </w:pPr>
      <w:bookmarkStart w:name="三、支出决算情况说明" w:id="15"/>
      <w:bookmarkEnd w:id="15"/>
      <w:r>
        <w:rPr/>
      </w:r>
      <w:bookmarkStart w:name="_bookmark6" w:id="16"/>
      <w:bookmarkEnd w:id="16"/>
      <w:r>
        <w:rPr/>
      </w:r>
      <w:r>
        <w:rPr>
          <w:rFonts w:ascii="方正黑体_GBK" w:eastAsia="方正黑体_GBK" w:hint="eastAsia"/>
        </w:rPr>
        <w:t>三、支出决算情况说明</w:t>
      </w:r>
    </w:p>
    <w:p>
      <w:pPr>
        <w:pStyle w:val="BodyText"/>
        <w:spacing w:before="35"/>
        <w:ind w:left="1240"/>
        <w:jc w:val="both"/>
      </w:pPr>
      <w:r>
        <w:rPr>
          <w:rFonts w:ascii="Times New Roman" w:eastAsia="Times New Roman"/>
        </w:rPr>
        <w:t>2019 </w:t>
      </w:r>
      <w:r>
        <w:rPr/>
        <w:t>年本年支出合计</w:t>
      </w:r>
      <w:r>
        <w:rPr>
          <w:rFonts w:ascii="Times New Roman" w:eastAsia="Times New Roman"/>
        </w:rPr>
        <w:t>3227.44 </w:t>
      </w:r>
      <w:r>
        <w:rPr/>
        <w:t>万元，与上年相比增加</w:t>
      </w:r>
      <w:r>
        <w:rPr>
          <w:rFonts w:ascii="Times New Roman" w:eastAsia="Times New Roman"/>
        </w:rPr>
        <w:t>660.61 </w:t>
      </w:r>
      <w:r>
        <w:rPr/>
        <w:t>万元，</w:t>
      </w:r>
    </w:p>
    <w:p>
      <w:pPr>
        <w:pStyle w:val="BodyText"/>
        <w:spacing w:line="252" w:lineRule="auto" w:before="25"/>
        <w:ind w:left="600" w:right="1058"/>
        <w:jc w:val="both"/>
      </w:pPr>
      <w:r>
        <w:rPr>
          <w:spacing w:val="9"/>
        </w:rPr>
        <w:t>主要变动原因</w:t>
      </w:r>
      <w:r>
        <w:rPr>
          <w:rFonts w:ascii="仿宋" w:eastAsia="仿宋" w:hint="eastAsia"/>
          <w:spacing w:val="9"/>
        </w:rPr>
        <w:t>:本年度安排项目支出增加</w:t>
      </w:r>
      <w:r>
        <w:rPr>
          <w:spacing w:val="-2"/>
        </w:rPr>
        <w:t>。其中：基本支出 </w:t>
      </w:r>
      <w:r>
        <w:rPr>
          <w:rFonts w:ascii="Times New Roman" w:eastAsia="Times New Roman"/>
        </w:rPr>
        <w:t>1943.84 </w:t>
      </w:r>
      <w:r>
        <w:rPr>
          <w:spacing w:val="-11"/>
        </w:rPr>
        <w:t>万元，占 </w:t>
      </w:r>
      <w:r>
        <w:rPr>
          <w:rFonts w:ascii="Times New Roman" w:eastAsia="Times New Roman"/>
        </w:rPr>
        <w:t>90.54%</w:t>
      </w:r>
      <w:r>
        <w:rPr>
          <w:spacing w:val="-16"/>
        </w:rPr>
        <w:t>，增加 </w:t>
      </w:r>
      <w:r>
        <w:rPr>
          <w:rFonts w:ascii="Times New Roman" w:eastAsia="Times New Roman"/>
        </w:rPr>
        <w:t>148.03 </w:t>
      </w:r>
      <w:r>
        <w:rPr>
          <w:spacing w:val="2"/>
        </w:rPr>
        <w:t>万元，主要变动原因：</w:t>
      </w:r>
      <w:r>
        <w:rPr>
          <w:rFonts w:ascii="仿宋" w:eastAsia="仿宋" w:hint="eastAsia"/>
          <w:spacing w:val="2"/>
        </w:rPr>
        <w:t>公用经费支出增加</w:t>
      </w:r>
      <w:r>
        <w:rPr>
          <w:spacing w:val="-10"/>
        </w:rPr>
        <w:t>；项目支出 </w:t>
      </w:r>
      <w:r>
        <w:rPr>
          <w:rFonts w:ascii="Times New Roman" w:eastAsia="Times New Roman"/>
        </w:rPr>
        <w:t>1283.60 </w:t>
      </w:r>
      <w:r>
        <w:rPr>
          <w:spacing w:val="-13"/>
        </w:rPr>
        <w:t>万元，占 </w:t>
      </w:r>
      <w:r>
        <w:rPr>
          <w:rFonts w:ascii="Times New Roman" w:eastAsia="Times New Roman"/>
        </w:rPr>
        <w:t>9.46%</w:t>
      </w:r>
      <w:r>
        <w:rPr>
          <w:spacing w:val="-16"/>
        </w:rPr>
        <w:t>，增加 </w:t>
      </w:r>
      <w:r>
        <w:rPr>
          <w:rFonts w:ascii="Times New Roman" w:eastAsia="Times New Roman"/>
        </w:rPr>
        <w:t>512.58 </w:t>
      </w:r>
      <w:r>
        <w:rPr/>
        <w:t>万元，主要变</w:t>
      </w:r>
    </w:p>
    <w:p>
      <w:pPr>
        <w:pStyle w:val="BodyText"/>
        <w:spacing w:line="513" w:lineRule="exact"/>
        <w:ind w:left="600"/>
        <w:jc w:val="both"/>
        <w:rPr>
          <w:rFonts w:ascii="Times New Roman" w:eastAsia="Times New Roman"/>
        </w:rPr>
      </w:pPr>
      <w:r>
        <w:rPr/>
        <w:t>动原因：</w:t>
      </w:r>
      <w:r>
        <w:rPr>
          <w:rFonts w:ascii="仿宋" w:eastAsia="仿宋" w:hint="eastAsia"/>
        </w:rPr>
        <w:t>项目支出增加</w:t>
      </w:r>
      <w:r>
        <w:rPr/>
        <w:t>；上缴上级支出 </w:t>
      </w:r>
      <w:r>
        <w:rPr>
          <w:rFonts w:ascii="Times New Roman" w:eastAsia="Times New Roman"/>
        </w:rPr>
        <w:t>0 </w:t>
      </w:r>
      <w:r>
        <w:rPr/>
        <w:t>万元，占 </w:t>
      </w:r>
      <w:r>
        <w:rPr>
          <w:rFonts w:ascii="Times New Roman" w:eastAsia="Times New Roman"/>
        </w:rPr>
        <w:t>0%</w:t>
      </w:r>
      <w:r>
        <w:rPr/>
        <w:t>，增加</w:t>
      </w:r>
      <w:r>
        <w:rPr>
          <w:rFonts w:ascii="Times New Roman" w:eastAsia="Times New Roman"/>
        </w:rPr>
        <w:t>/</w:t>
      </w:r>
      <w:r>
        <w:rPr/>
        <w:t>减少 </w:t>
      </w:r>
      <w:r>
        <w:rPr>
          <w:rFonts w:ascii="Times New Roman" w:eastAsia="Times New Roman"/>
        </w:rPr>
        <w:t>0</w:t>
      </w:r>
    </w:p>
    <w:p>
      <w:pPr>
        <w:pStyle w:val="BodyText"/>
        <w:spacing w:before="25"/>
        <w:ind w:left="600"/>
        <w:jc w:val="both"/>
      </w:pPr>
      <w:r>
        <w:rPr/>
        <w:t>万元，与上年持平；经营支出 </w:t>
      </w:r>
      <w:r>
        <w:rPr>
          <w:rFonts w:ascii="Times New Roman" w:eastAsia="Times New Roman"/>
        </w:rPr>
        <w:t>0 </w:t>
      </w:r>
      <w:r>
        <w:rPr/>
        <w:t>万元，占 </w:t>
      </w:r>
      <w:r>
        <w:rPr>
          <w:rFonts w:ascii="Times New Roman" w:eastAsia="Times New Roman"/>
        </w:rPr>
        <w:t>0%</w:t>
      </w:r>
      <w:r>
        <w:rPr/>
        <w:t>，增加</w:t>
      </w:r>
      <w:r>
        <w:rPr>
          <w:rFonts w:ascii="Times New Roman" w:eastAsia="Times New Roman"/>
        </w:rPr>
        <w:t>/</w:t>
      </w:r>
      <w:r>
        <w:rPr/>
        <w:t>减少 </w:t>
      </w:r>
      <w:r>
        <w:rPr>
          <w:rFonts w:ascii="Times New Roman" w:eastAsia="Times New Roman"/>
        </w:rPr>
        <w:t>0 </w:t>
      </w:r>
      <w:r>
        <w:rPr/>
        <w:t>万元，与</w:t>
      </w:r>
    </w:p>
    <w:p>
      <w:pPr>
        <w:pStyle w:val="BodyText"/>
        <w:spacing w:line="252" w:lineRule="auto" w:before="25"/>
        <w:ind w:left="600" w:right="1051"/>
        <w:jc w:val="both"/>
      </w:pPr>
      <w:r>
        <w:rPr>
          <w:spacing w:val="-5"/>
        </w:rPr>
        <w:t>上年持平；对附属单位补助支出 </w:t>
      </w:r>
      <w:r>
        <w:rPr>
          <w:rFonts w:ascii="Times New Roman" w:eastAsia="Times New Roman"/>
        </w:rPr>
        <w:t>0 </w:t>
      </w:r>
      <w:r>
        <w:rPr>
          <w:spacing w:val="-13"/>
        </w:rPr>
        <w:t>万元，占 </w:t>
      </w:r>
      <w:r>
        <w:rPr>
          <w:rFonts w:ascii="Times New Roman" w:eastAsia="Times New Roman"/>
        </w:rPr>
        <w:t>0%</w:t>
      </w:r>
      <w:r>
        <w:rPr/>
        <w:t>，增加</w:t>
      </w:r>
      <w:r>
        <w:rPr>
          <w:rFonts w:ascii="Times New Roman" w:eastAsia="Times New Roman"/>
        </w:rPr>
        <w:t>/</w:t>
      </w:r>
      <w:r>
        <w:rPr>
          <w:spacing w:val="-21"/>
        </w:rPr>
        <w:t>减少 </w:t>
      </w:r>
      <w:r>
        <w:rPr>
          <w:rFonts w:ascii="Times New Roman" w:eastAsia="Times New Roman"/>
        </w:rPr>
        <w:t>0 </w:t>
      </w:r>
      <w:r>
        <w:rPr/>
        <w:t>万元， 与上年持平。</w:t>
      </w:r>
    </w:p>
    <w:p>
      <w:pPr>
        <w:spacing w:after="0" w:line="252" w:lineRule="auto"/>
        <w:jc w:val="both"/>
        <w:sectPr>
          <w:pgSz w:w="11910" w:h="16840"/>
          <w:pgMar w:header="0" w:footer="1350" w:top="1600" w:bottom="1540" w:left="660" w:right="40"/>
        </w:sectPr>
      </w:pPr>
    </w:p>
    <w:p>
      <w:pPr>
        <w:pStyle w:val="BodyText"/>
        <w:spacing w:before="3"/>
        <w:rPr>
          <w:sz w:val="21"/>
        </w:rPr>
      </w:pPr>
    </w:p>
    <w:p>
      <w:pPr>
        <w:pStyle w:val="BodyText"/>
        <w:ind w:left="1240"/>
        <w:rPr>
          <w:sz w:val="20"/>
        </w:rPr>
      </w:pPr>
      <w:bookmarkStart w:name="五、一般公共预算财政拨款支出决算情况说明" w:id="17"/>
      <w:bookmarkEnd w:id="17"/>
      <w:r>
        <w:rPr/>
      </w:r>
      <w:bookmarkStart w:name="_bookmark8" w:id="18"/>
      <w:bookmarkEnd w:id="18"/>
      <w:r>
        <w:rPr/>
      </w:r>
      <w:r>
        <w:rPr>
          <w:sz w:val="20"/>
        </w:rPr>
        <w:drawing>
          <wp:inline distT="0" distB="0" distL="0" distR="0">
            <wp:extent cx="4627445" cy="280158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627445" cy="2801588"/>
                    </a:xfrm>
                    <a:prstGeom prst="rect">
                      <a:avLst/>
                    </a:prstGeom>
                  </pic:spPr>
                </pic:pic>
              </a:graphicData>
            </a:graphic>
          </wp:inline>
        </w:drawing>
      </w:r>
      <w:r>
        <w:rPr>
          <w:sz w:val="20"/>
        </w:rPr>
      </w:r>
    </w:p>
    <w:p>
      <w:pPr>
        <w:pStyle w:val="BodyText"/>
        <w:spacing w:before="5"/>
        <w:rPr>
          <w:sz w:val="8"/>
        </w:rPr>
      </w:pPr>
    </w:p>
    <w:p>
      <w:pPr>
        <w:pStyle w:val="BodyText"/>
        <w:spacing w:before="25"/>
        <w:ind w:left="1080"/>
      </w:pPr>
      <w:r>
        <w:rPr/>
        <w:t>（图 </w:t>
      </w:r>
      <w:r>
        <w:rPr>
          <w:rFonts w:ascii="Times New Roman" w:eastAsia="Times New Roman"/>
        </w:rPr>
        <w:t>3</w:t>
      </w:r>
      <w:r>
        <w:rPr/>
        <w:t>：支出决算结构图）</w:t>
      </w:r>
    </w:p>
    <w:p>
      <w:pPr>
        <w:pStyle w:val="BodyText"/>
        <w:spacing w:before="25"/>
        <w:ind w:left="1240"/>
        <w:rPr>
          <w:rFonts w:ascii="方正黑体_GBK" w:eastAsia="方正黑体_GBK" w:hint="eastAsia"/>
        </w:rPr>
      </w:pPr>
      <w:bookmarkStart w:name="四、财政拨款收入支出决算总体情况说明" w:id="19"/>
      <w:bookmarkEnd w:id="19"/>
      <w:r>
        <w:rPr/>
      </w:r>
      <w:bookmarkStart w:name="_bookmark7" w:id="20"/>
      <w:bookmarkEnd w:id="20"/>
      <w:r>
        <w:rPr/>
      </w:r>
      <w:r>
        <w:rPr>
          <w:rFonts w:ascii="方正黑体_GBK" w:eastAsia="方正黑体_GBK" w:hint="eastAsia"/>
        </w:rPr>
        <w:t>四、财政拨款收入支出决算总体情况说明</w:t>
      </w:r>
    </w:p>
    <w:p>
      <w:pPr>
        <w:pStyle w:val="BodyText"/>
        <w:spacing w:line="252" w:lineRule="auto" w:before="35"/>
        <w:ind w:left="600" w:right="1058" w:firstLine="640"/>
        <w:jc w:val="both"/>
        <w:rPr>
          <w:rFonts w:ascii="仿宋" w:eastAsia="仿宋" w:hint="eastAsia"/>
        </w:rPr>
      </w:pPr>
      <w:r>
        <w:rPr>
          <w:rFonts w:ascii="Times New Roman" w:eastAsia="Times New Roman"/>
        </w:rPr>
        <w:t>2019 </w:t>
      </w:r>
      <w:r>
        <w:rPr>
          <w:spacing w:val="-3"/>
        </w:rPr>
        <w:t>年财政拨款收、支总计 </w:t>
      </w:r>
      <w:r>
        <w:rPr>
          <w:rFonts w:ascii="Times New Roman" w:eastAsia="Times New Roman"/>
        </w:rPr>
        <w:t>3227.44 </w:t>
      </w:r>
      <w:r>
        <w:rPr>
          <w:spacing w:val="-10"/>
        </w:rPr>
        <w:t>万元。与 </w:t>
      </w:r>
      <w:r>
        <w:rPr>
          <w:rFonts w:ascii="Times New Roman" w:eastAsia="Times New Roman"/>
        </w:rPr>
        <w:t>2018 </w:t>
      </w:r>
      <w:r>
        <w:rPr>
          <w:spacing w:val="4"/>
        </w:rPr>
        <w:t>年相比，财</w:t>
      </w:r>
      <w:r>
        <w:rPr>
          <w:spacing w:val="-5"/>
        </w:rPr>
        <w:t>政拨款收、支总计各增加 </w:t>
      </w:r>
      <w:r>
        <w:rPr>
          <w:rFonts w:ascii="Times New Roman" w:eastAsia="Times New Roman"/>
        </w:rPr>
        <w:t>660.61 </w:t>
      </w:r>
      <w:r>
        <w:rPr>
          <w:spacing w:val="-9"/>
        </w:rPr>
        <w:t>万元，增长 </w:t>
      </w:r>
      <w:r>
        <w:rPr>
          <w:rFonts w:ascii="Times New Roman" w:eastAsia="Times New Roman"/>
        </w:rPr>
        <w:t>25.74%</w:t>
      </w:r>
      <w:r>
        <w:rPr>
          <w:spacing w:val="2"/>
        </w:rPr>
        <w:t>。主要变动原因是</w:t>
      </w:r>
      <w:r>
        <w:rPr>
          <w:rFonts w:ascii="仿宋" w:eastAsia="仿宋" w:hint="eastAsia"/>
          <w:spacing w:val="2"/>
        </w:rPr>
        <w:t>财政拨款收入增加。</w:t>
      </w:r>
    </w:p>
    <w:p>
      <w:pPr>
        <w:pStyle w:val="BodyText"/>
        <w:spacing w:before="8"/>
        <w:rPr>
          <w:rFonts w:ascii="仿宋"/>
          <w:sz w:val="14"/>
        </w:rPr>
      </w:pPr>
      <w:r>
        <w:rPr/>
        <w:drawing>
          <wp:anchor distT="0" distB="0" distL="0" distR="0" allowOverlap="1" layoutInCell="1" locked="0" behindDoc="0" simplePos="0" relativeHeight="2">
            <wp:simplePos x="0" y="0"/>
            <wp:positionH relativeFrom="page">
              <wp:posOffset>1207008</wp:posOffset>
            </wp:positionH>
            <wp:positionV relativeFrom="paragraph">
              <wp:posOffset>144145</wp:posOffset>
            </wp:positionV>
            <wp:extent cx="4677987" cy="283987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4677987" cy="2839878"/>
                    </a:xfrm>
                    <a:prstGeom prst="rect">
                      <a:avLst/>
                    </a:prstGeom>
                  </pic:spPr>
                </pic:pic>
              </a:graphicData>
            </a:graphic>
          </wp:anchor>
        </w:drawing>
      </w:r>
    </w:p>
    <w:p>
      <w:pPr>
        <w:pStyle w:val="BodyText"/>
        <w:spacing w:before="129"/>
        <w:ind w:left="1080"/>
      </w:pPr>
      <w:r>
        <w:rPr/>
        <w:t>（图 </w:t>
      </w:r>
      <w:r>
        <w:rPr>
          <w:rFonts w:ascii="Times New Roman" w:eastAsia="Times New Roman"/>
        </w:rPr>
        <w:t>4</w:t>
      </w:r>
      <w:r>
        <w:rPr/>
        <w:t>：财政拨款收、支决算总计变动情况）</w:t>
      </w:r>
    </w:p>
    <w:p>
      <w:pPr>
        <w:spacing w:after="0"/>
        <w:sectPr>
          <w:pgSz w:w="11910" w:h="16840"/>
          <w:pgMar w:header="0" w:footer="1350" w:top="1600" w:bottom="1540" w:left="660" w:right="40"/>
        </w:sectPr>
      </w:pPr>
    </w:p>
    <w:p>
      <w:pPr>
        <w:pStyle w:val="BodyText"/>
        <w:spacing w:line="491" w:lineRule="exact" w:before="52"/>
        <w:ind w:left="1240"/>
        <w:rPr>
          <w:rFonts w:ascii="方正黑体_GBK" w:eastAsia="方正黑体_GBK" w:hint="eastAsia"/>
        </w:rPr>
      </w:pPr>
      <w:r>
        <w:rPr>
          <w:rFonts w:ascii="方正黑体_GBK" w:eastAsia="方正黑体_GBK" w:hint="eastAsia"/>
        </w:rPr>
        <w:t>五、一般公共预算财政拨款支出决算情况说明</w:t>
      </w:r>
    </w:p>
    <w:p>
      <w:pPr>
        <w:pStyle w:val="BodyText"/>
        <w:spacing w:line="576" w:lineRule="exact"/>
        <w:ind w:left="1080"/>
        <w:rPr>
          <w:rFonts w:ascii="微软雅黑" w:eastAsia="微软雅黑" w:hint="eastAsia"/>
        </w:rPr>
      </w:pPr>
      <w:bookmarkStart w:name="（一）一般公共预算财政拨款支出决算总体情况" w:id="21"/>
      <w:bookmarkEnd w:id="21"/>
      <w:r>
        <w:rPr/>
      </w:r>
      <w:r>
        <w:rPr>
          <w:rFonts w:ascii="微软雅黑" w:eastAsia="微软雅黑" w:hint="eastAsia"/>
        </w:rPr>
        <w:t>（一）一般公共预算财政拨款支出决算总体情况</w:t>
      </w:r>
    </w:p>
    <w:p>
      <w:pPr>
        <w:pStyle w:val="BodyText"/>
        <w:spacing w:before="12"/>
        <w:ind w:left="1240"/>
      </w:pPr>
      <w:r>
        <w:rPr>
          <w:rFonts w:ascii="Times New Roman" w:eastAsia="Times New Roman"/>
        </w:rPr>
        <w:t>2019 </w:t>
      </w:r>
      <w:r>
        <w:rPr/>
        <w:t>年一般公共预算财政拨款支出 </w:t>
      </w:r>
      <w:r>
        <w:rPr>
          <w:rFonts w:ascii="Times New Roman" w:eastAsia="Times New Roman"/>
        </w:rPr>
        <w:t>3227.44 </w:t>
      </w:r>
      <w:r>
        <w:rPr/>
        <w:t>万元，占本年支出合</w:t>
      </w:r>
    </w:p>
    <w:p>
      <w:pPr>
        <w:pStyle w:val="BodyText"/>
        <w:spacing w:line="252" w:lineRule="auto" w:before="25"/>
        <w:ind w:left="600" w:right="897"/>
        <w:rPr>
          <w:rFonts w:ascii="仿宋" w:eastAsia="仿宋" w:hint="eastAsia"/>
        </w:rPr>
      </w:pPr>
      <w:r>
        <w:rPr>
          <w:spacing w:val="-22"/>
        </w:rPr>
        <w:t>计的 </w:t>
      </w:r>
      <w:r>
        <w:rPr>
          <w:rFonts w:ascii="Times New Roman" w:eastAsia="Times New Roman"/>
        </w:rPr>
        <w:t>100%</w:t>
      </w:r>
      <w:r>
        <w:rPr>
          <w:spacing w:val="-75"/>
        </w:rPr>
        <w:t>。与 </w:t>
      </w:r>
      <w:r>
        <w:rPr>
          <w:rFonts w:ascii="Times New Roman" w:eastAsia="Times New Roman"/>
        </w:rPr>
        <w:t>2018 </w:t>
      </w:r>
      <w:r>
        <w:rPr>
          <w:spacing w:val="-17"/>
        </w:rPr>
        <w:t>年相比，一般公共预算财政拨款增加 </w:t>
      </w:r>
      <w:r>
        <w:rPr>
          <w:rFonts w:ascii="Times New Roman" w:eastAsia="Times New Roman"/>
        </w:rPr>
        <w:t>660.61 </w:t>
      </w:r>
      <w:r>
        <w:rPr/>
        <w:t>万元， </w:t>
      </w:r>
      <w:r>
        <w:rPr>
          <w:spacing w:val="-21"/>
        </w:rPr>
        <w:t>增长 </w:t>
      </w:r>
      <w:r>
        <w:rPr>
          <w:rFonts w:ascii="Times New Roman" w:eastAsia="Times New Roman"/>
        </w:rPr>
        <w:t>25.74%</w:t>
      </w:r>
      <w:r>
        <w:rPr/>
        <w:t>。主要变动原因是</w:t>
      </w:r>
      <w:r>
        <w:rPr>
          <w:rFonts w:ascii="仿宋" w:eastAsia="仿宋" w:hint="eastAsia"/>
        </w:rPr>
        <w:t>财政拨款收入增加。</w:t>
      </w:r>
    </w:p>
    <w:p>
      <w:pPr>
        <w:pStyle w:val="BodyText"/>
        <w:ind w:left="1262"/>
        <w:rPr>
          <w:rFonts w:ascii="仿宋"/>
          <w:sz w:val="20"/>
        </w:rPr>
      </w:pPr>
      <w:r>
        <w:rPr>
          <w:rFonts w:ascii="仿宋"/>
          <w:sz w:val="20"/>
        </w:rPr>
        <w:drawing>
          <wp:inline distT="0" distB="0" distL="0" distR="0">
            <wp:extent cx="4639276" cy="2795206"/>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4639276" cy="2795206"/>
                    </a:xfrm>
                    <a:prstGeom prst="rect">
                      <a:avLst/>
                    </a:prstGeom>
                  </pic:spPr>
                </pic:pic>
              </a:graphicData>
            </a:graphic>
          </wp:inline>
        </w:drawing>
      </w:r>
      <w:r>
        <w:rPr>
          <w:rFonts w:ascii="仿宋"/>
          <w:sz w:val="20"/>
        </w:rPr>
      </w:r>
    </w:p>
    <w:p>
      <w:pPr>
        <w:pStyle w:val="BodyText"/>
        <w:spacing w:line="495" w:lineRule="exact" w:before="114"/>
        <w:ind w:left="1080"/>
      </w:pPr>
      <w:r>
        <w:rPr/>
        <w:t>（图 </w:t>
      </w:r>
      <w:r>
        <w:rPr>
          <w:rFonts w:ascii="Times New Roman" w:eastAsia="Times New Roman"/>
        </w:rPr>
        <w:t>5</w:t>
      </w:r>
      <w:r>
        <w:rPr/>
        <w:t>：一般公共预算财政拨款支出决算变动情况）</w:t>
      </w:r>
    </w:p>
    <w:p>
      <w:pPr>
        <w:pStyle w:val="BodyText"/>
        <w:spacing w:line="570" w:lineRule="exact"/>
        <w:ind w:left="1080"/>
        <w:rPr>
          <w:rFonts w:ascii="微软雅黑" w:eastAsia="微软雅黑" w:hint="eastAsia"/>
        </w:rPr>
      </w:pPr>
      <w:bookmarkStart w:name="（二）一般公共预算财政拨款支出决算结构情况" w:id="22"/>
      <w:bookmarkEnd w:id="22"/>
      <w:r>
        <w:rPr/>
      </w:r>
      <w:r>
        <w:rPr>
          <w:rFonts w:ascii="微软雅黑" w:eastAsia="微软雅黑" w:hint="eastAsia"/>
        </w:rPr>
        <w:t>（二）一般公共预算财政拨款支出决算结构情况</w:t>
      </w:r>
    </w:p>
    <w:p>
      <w:pPr>
        <w:spacing w:line="350" w:lineRule="auto" w:before="103"/>
        <w:ind w:left="600" w:right="894" w:firstLine="640"/>
        <w:jc w:val="left"/>
        <w:rPr>
          <w:rFonts w:ascii="仿宋" w:eastAsia="仿宋" w:hint="eastAsia"/>
          <w:sz w:val="32"/>
        </w:rPr>
      </w:pPr>
      <w:r>
        <w:rPr>
          <w:rFonts w:ascii="仿宋" w:eastAsia="仿宋" w:hint="eastAsia"/>
          <w:sz w:val="32"/>
        </w:rPr>
        <w:t>2019</w:t>
      </w:r>
      <w:r>
        <w:rPr>
          <w:rFonts w:ascii="仿宋" w:eastAsia="仿宋" w:hint="eastAsia"/>
          <w:spacing w:val="-15"/>
          <w:sz w:val="32"/>
        </w:rPr>
        <w:t> 年一般公共预算财政拨款支出 </w:t>
      </w:r>
      <w:r>
        <w:rPr>
          <w:rFonts w:ascii="Times New Roman" w:eastAsia="Times New Roman"/>
          <w:sz w:val="32"/>
        </w:rPr>
        <w:t>3227.44 </w:t>
      </w:r>
      <w:r>
        <w:rPr>
          <w:rFonts w:ascii="仿宋" w:eastAsia="仿宋" w:hint="eastAsia"/>
          <w:spacing w:val="-8"/>
          <w:sz w:val="32"/>
        </w:rPr>
        <w:t>万元，主要用于以下</w:t>
      </w:r>
      <w:r>
        <w:rPr>
          <w:rFonts w:ascii="仿宋" w:eastAsia="仿宋" w:hint="eastAsia"/>
          <w:spacing w:val="-36"/>
          <w:sz w:val="32"/>
        </w:rPr>
        <w:t>方面：</w:t>
      </w:r>
      <w:r>
        <w:rPr>
          <w:rFonts w:ascii="仿宋" w:eastAsia="仿宋" w:hint="eastAsia"/>
          <w:b/>
          <w:spacing w:val="-23"/>
          <w:sz w:val="32"/>
        </w:rPr>
        <w:t>教育支出</w:t>
      </w:r>
      <w:r>
        <w:rPr>
          <w:rFonts w:ascii="仿宋" w:eastAsia="仿宋" w:hint="eastAsia"/>
          <w:b/>
          <w:sz w:val="32"/>
        </w:rPr>
        <w:t>（类</w:t>
      </w:r>
      <w:r>
        <w:rPr>
          <w:rFonts w:ascii="仿宋" w:eastAsia="仿宋" w:hint="eastAsia"/>
          <w:b/>
          <w:spacing w:val="-12"/>
          <w:sz w:val="32"/>
        </w:rPr>
        <w:t>）</w:t>
      </w:r>
      <w:r>
        <w:rPr>
          <w:rFonts w:ascii="仿宋" w:eastAsia="仿宋" w:hint="eastAsia"/>
          <w:spacing w:val="-12"/>
          <w:sz w:val="32"/>
        </w:rPr>
        <w:t>2839.57</w:t>
      </w:r>
      <w:r>
        <w:rPr>
          <w:rFonts w:ascii="仿宋" w:eastAsia="仿宋" w:hint="eastAsia"/>
          <w:spacing w:val="-46"/>
          <w:sz w:val="32"/>
        </w:rPr>
        <w:t> 万元，占 </w:t>
      </w:r>
      <w:r>
        <w:rPr>
          <w:rFonts w:ascii="仿宋" w:eastAsia="仿宋" w:hint="eastAsia"/>
          <w:spacing w:val="-13"/>
          <w:sz w:val="32"/>
        </w:rPr>
        <w:t>87.98%；</w:t>
      </w:r>
      <w:r>
        <w:rPr>
          <w:rFonts w:ascii="仿宋" w:eastAsia="仿宋" w:hint="eastAsia"/>
          <w:b/>
          <w:spacing w:val="-12"/>
          <w:sz w:val="32"/>
        </w:rPr>
        <w:t>社会保障和就业</w:t>
      </w:r>
      <w:r>
        <w:rPr>
          <w:rFonts w:ascii="仿宋" w:eastAsia="仿宋" w:hint="eastAsia"/>
          <w:b/>
          <w:sz w:val="32"/>
        </w:rPr>
        <w:t>（</w:t>
      </w:r>
      <w:r>
        <w:rPr>
          <w:rFonts w:ascii="仿宋" w:eastAsia="仿宋" w:hint="eastAsia"/>
          <w:b/>
          <w:spacing w:val="5"/>
          <w:sz w:val="32"/>
        </w:rPr>
        <w:t>类</w:t>
      </w:r>
      <w:r>
        <w:rPr>
          <w:rFonts w:ascii="仿宋" w:eastAsia="仿宋" w:hint="eastAsia"/>
          <w:b/>
          <w:sz w:val="32"/>
        </w:rPr>
        <w:t>） </w:t>
      </w:r>
      <w:r>
        <w:rPr>
          <w:rFonts w:ascii="仿宋" w:eastAsia="仿宋" w:hint="eastAsia"/>
          <w:spacing w:val="-28"/>
          <w:sz w:val="32"/>
        </w:rPr>
        <w:t>支出 </w:t>
      </w:r>
      <w:r>
        <w:rPr>
          <w:rFonts w:ascii="仿宋" w:eastAsia="仿宋" w:hint="eastAsia"/>
          <w:sz w:val="32"/>
        </w:rPr>
        <w:t>201.87</w:t>
      </w:r>
      <w:r>
        <w:rPr>
          <w:rFonts w:ascii="仿宋" w:eastAsia="仿宋" w:hint="eastAsia"/>
          <w:spacing w:val="-29"/>
          <w:sz w:val="32"/>
        </w:rPr>
        <w:t> 万元，占 </w:t>
      </w:r>
      <w:r>
        <w:rPr>
          <w:rFonts w:ascii="仿宋" w:eastAsia="仿宋" w:hint="eastAsia"/>
          <w:sz w:val="32"/>
        </w:rPr>
        <w:t>6.25%；</w:t>
      </w:r>
      <w:r>
        <w:rPr>
          <w:rFonts w:ascii="仿宋" w:eastAsia="仿宋" w:hint="eastAsia"/>
          <w:b/>
          <w:spacing w:val="-12"/>
          <w:sz w:val="32"/>
        </w:rPr>
        <w:t>卫生健康支出 </w:t>
      </w:r>
      <w:r>
        <w:rPr>
          <w:rFonts w:ascii="仿宋" w:eastAsia="仿宋" w:hint="eastAsia"/>
          <w:sz w:val="32"/>
        </w:rPr>
        <w:t>69.85</w:t>
      </w:r>
      <w:r>
        <w:rPr>
          <w:rFonts w:ascii="仿宋" w:eastAsia="仿宋" w:hint="eastAsia"/>
          <w:spacing w:val="-28"/>
          <w:sz w:val="32"/>
        </w:rPr>
        <w:t> 万元，占 </w:t>
      </w:r>
      <w:r>
        <w:rPr>
          <w:rFonts w:ascii="仿宋" w:eastAsia="仿宋" w:hint="eastAsia"/>
          <w:sz w:val="32"/>
        </w:rPr>
        <w:t>2.16%； </w:t>
      </w:r>
      <w:r>
        <w:rPr>
          <w:rFonts w:ascii="仿宋" w:eastAsia="仿宋" w:hint="eastAsia"/>
          <w:b/>
          <w:spacing w:val="-12"/>
          <w:sz w:val="32"/>
        </w:rPr>
        <w:t>住房保障支出 </w:t>
      </w:r>
      <w:r>
        <w:rPr>
          <w:rFonts w:ascii="仿宋" w:eastAsia="仿宋" w:hint="eastAsia"/>
          <w:sz w:val="32"/>
        </w:rPr>
        <w:t>116.15</w:t>
      </w:r>
      <w:r>
        <w:rPr>
          <w:rFonts w:ascii="仿宋" w:eastAsia="仿宋" w:hint="eastAsia"/>
          <w:spacing w:val="-28"/>
          <w:sz w:val="32"/>
        </w:rPr>
        <w:t> 万元，占 </w:t>
      </w:r>
      <w:r>
        <w:rPr>
          <w:rFonts w:ascii="仿宋" w:eastAsia="仿宋" w:hint="eastAsia"/>
          <w:sz w:val="32"/>
        </w:rPr>
        <w:t>3.60%。</w:t>
      </w:r>
    </w:p>
    <w:p>
      <w:pPr>
        <w:spacing w:after="0" w:line="350" w:lineRule="auto"/>
        <w:jc w:val="left"/>
        <w:rPr>
          <w:rFonts w:ascii="仿宋" w:eastAsia="仿宋" w:hint="eastAsia"/>
          <w:sz w:val="32"/>
        </w:rPr>
        <w:sectPr>
          <w:pgSz w:w="11910" w:h="16840"/>
          <w:pgMar w:header="0" w:footer="1350" w:top="1600" w:bottom="1540" w:left="660" w:right="40"/>
        </w:sectPr>
      </w:pPr>
    </w:p>
    <w:p>
      <w:pPr>
        <w:pStyle w:val="BodyText"/>
        <w:ind w:left="1240"/>
        <w:rPr>
          <w:rFonts w:ascii="仿宋"/>
          <w:sz w:val="20"/>
        </w:rPr>
      </w:pPr>
      <w:r>
        <w:rPr>
          <w:rFonts w:ascii="仿宋"/>
          <w:sz w:val="20"/>
        </w:rPr>
        <w:drawing>
          <wp:inline distT="0" distB="0" distL="0" distR="0">
            <wp:extent cx="4653061" cy="2795206"/>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4653061" cy="2795206"/>
                    </a:xfrm>
                    <a:prstGeom prst="rect">
                      <a:avLst/>
                    </a:prstGeom>
                  </pic:spPr>
                </pic:pic>
              </a:graphicData>
            </a:graphic>
          </wp:inline>
        </w:drawing>
      </w:r>
      <w:r>
        <w:rPr>
          <w:rFonts w:ascii="仿宋"/>
          <w:sz w:val="20"/>
        </w:rPr>
      </w:r>
    </w:p>
    <w:p>
      <w:pPr>
        <w:pStyle w:val="BodyText"/>
        <w:spacing w:line="496" w:lineRule="exact" w:before="50"/>
        <w:ind w:left="1080"/>
      </w:pPr>
      <w:r>
        <w:rPr/>
        <w:t>（图 </w:t>
      </w:r>
      <w:r>
        <w:rPr>
          <w:rFonts w:ascii="Times New Roman" w:eastAsia="Times New Roman"/>
        </w:rPr>
        <w:t>6</w:t>
      </w:r>
      <w:r>
        <w:rPr/>
        <w:t>：一般公共预算财政拨款支出决算结构）</w:t>
      </w:r>
    </w:p>
    <w:p>
      <w:pPr>
        <w:pStyle w:val="BodyText"/>
        <w:spacing w:line="571" w:lineRule="exact"/>
        <w:ind w:left="1080"/>
        <w:rPr>
          <w:rFonts w:ascii="微软雅黑" w:eastAsia="微软雅黑" w:hint="eastAsia"/>
        </w:rPr>
      </w:pPr>
      <w:bookmarkStart w:name="（三）一般公共预算财政拨款支出决算具体情况" w:id="23"/>
      <w:bookmarkEnd w:id="23"/>
      <w:r>
        <w:rPr/>
      </w:r>
      <w:r>
        <w:rPr>
          <w:rFonts w:ascii="微软雅黑" w:eastAsia="微软雅黑" w:hint="eastAsia"/>
        </w:rPr>
        <w:t>（三）一般公共预算财政拨款支出决算具体情况</w:t>
      </w:r>
    </w:p>
    <w:p>
      <w:pPr>
        <w:spacing w:before="12"/>
        <w:ind w:left="1240" w:right="0" w:firstLine="0"/>
        <w:jc w:val="left"/>
        <w:rPr>
          <w:b/>
          <w:sz w:val="32"/>
        </w:rPr>
      </w:pPr>
      <w:bookmarkStart w:name="2019年一般公共预算支出决算数为3227.44万元，完成预算100%。其中：" w:id="24"/>
      <w:bookmarkEnd w:id="24"/>
      <w:r>
        <w:rPr/>
      </w:r>
      <w:r>
        <w:rPr>
          <w:rFonts w:ascii="Times New Roman" w:eastAsia="Times New Roman"/>
          <w:b/>
          <w:sz w:val="32"/>
        </w:rPr>
        <w:t>2019 </w:t>
      </w:r>
      <w:r>
        <w:rPr>
          <w:b/>
          <w:spacing w:val="21"/>
          <w:sz w:val="32"/>
        </w:rPr>
        <w:t>年一般公共预算支出决算数为 </w:t>
      </w:r>
      <w:r>
        <w:rPr>
          <w:rFonts w:ascii="Times New Roman" w:eastAsia="Times New Roman"/>
          <w:sz w:val="32"/>
        </w:rPr>
        <w:t>3227.44 </w:t>
      </w:r>
      <w:r>
        <w:rPr>
          <w:b/>
          <w:spacing w:val="29"/>
          <w:sz w:val="32"/>
        </w:rPr>
        <w:t>万元</w:t>
      </w:r>
      <w:r>
        <w:rPr>
          <w:spacing w:val="-58"/>
          <w:sz w:val="32"/>
        </w:rPr>
        <w:t>， </w:t>
      </w:r>
      <w:r>
        <w:rPr>
          <w:b/>
          <w:spacing w:val="21"/>
          <w:sz w:val="32"/>
        </w:rPr>
        <w:t>完成预算</w:t>
      </w:r>
    </w:p>
    <w:p>
      <w:pPr>
        <w:pStyle w:val="Heading1"/>
        <w:ind w:firstLine="0"/>
      </w:pPr>
      <w:r>
        <w:rPr>
          <w:rFonts w:ascii="Times New Roman" w:eastAsia="Times New Roman"/>
        </w:rPr>
        <w:t>100%</w:t>
      </w:r>
      <w:r>
        <w:rPr/>
        <w:t>。其中：</w:t>
      </w:r>
    </w:p>
    <w:p>
      <w:pPr>
        <w:pStyle w:val="ListParagraph"/>
        <w:numPr>
          <w:ilvl w:val="0"/>
          <w:numId w:val="1"/>
        </w:numPr>
        <w:tabs>
          <w:tab w:pos="1481" w:val="left" w:leader="none"/>
        </w:tabs>
        <w:spacing w:line="240" w:lineRule="auto" w:before="25" w:after="0"/>
        <w:ind w:left="1480" w:right="0" w:hanging="241"/>
        <w:jc w:val="left"/>
        <w:rPr>
          <w:sz w:val="32"/>
        </w:rPr>
      </w:pPr>
      <w:r>
        <w:rPr>
          <w:b/>
          <w:sz w:val="32"/>
        </w:rPr>
        <w:t>教育（类）职业教育（款）职业高中教育（项</w:t>
      </w:r>
      <w:r>
        <w:rPr>
          <w:b/>
          <w:spacing w:val="2"/>
          <w:sz w:val="32"/>
        </w:rPr>
        <w:t>）：</w:t>
      </w:r>
      <w:r>
        <w:rPr>
          <w:sz w:val="32"/>
        </w:rPr>
        <w:t>支出决算为</w:t>
      </w:r>
    </w:p>
    <w:p>
      <w:pPr>
        <w:pStyle w:val="BodyText"/>
        <w:spacing w:before="25"/>
        <w:ind w:left="600"/>
      </w:pPr>
      <w:r>
        <w:rPr>
          <w:rFonts w:ascii="Times New Roman" w:eastAsia="Times New Roman"/>
        </w:rPr>
        <w:t>1819.20 </w:t>
      </w:r>
      <w:r>
        <w:rPr/>
        <w:t>万元，完成预算 </w:t>
      </w:r>
      <w:r>
        <w:rPr>
          <w:rFonts w:ascii="Times New Roman" w:eastAsia="Times New Roman"/>
        </w:rPr>
        <w:t>100%</w:t>
      </w:r>
      <w:r>
        <w:rPr/>
        <w:t>，决算数等于预算数。</w:t>
      </w:r>
    </w:p>
    <w:p>
      <w:pPr>
        <w:pStyle w:val="ListParagraph"/>
        <w:numPr>
          <w:ilvl w:val="0"/>
          <w:numId w:val="1"/>
        </w:numPr>
        <w:tabs>
          <w:tab w:pos="1481" w:val="left" w:leader="none"/>
        </w:tabs>
        <w:spacing w:line="252" w:lineRule="auto" w:before="25" w:after="0"/>
        <w:ind w:left="600" w:right="1053" w:firstLine="640"/>
        <w:jc w:val="both"/>
        <w:rPr>
          <w:sz w:val="32"/>
        </w:rPr>
      </w:pPr>
      <w:r>
        <w:rPr>
          <w:b/>
          <w:sz w:val="32"/>
        </w:rPr>
        <w:t>教育（类）职业教育（款）其他职业教育支出（项）：</w:t>
      </w:r>
      <w:r>
        <w:rPr>
          <w:sz w:val="32"/>
        </w:rPr>
        <w:t>支出决</w:t>
      </w:r>
      <w:r>
        <w:rPr>
          <w:spacing w:val="-21"/>
          <w:sz w:val="32"/>
        </w:rPr>
        <w:t>算为 </w:t>
      </w:r>
      <w:r>
        <w:rPr>
          <w:rFonts w:ascii="Times New Roman" w:eastAsia="Times New Roman"/>
          <w:sz w:val="32"/>
        </w:rPr>
        <w:t>1020.37</w:t>
      </w:r>
      <w:r>
        <w:rPr>
          <w:rFonts w:ascii="Times New Roman" w:eastAsia="Times New Roman"/>
          <w:spacing w:val="-1"/>
          <w:sz w:val="32"/>
        </w:rPr>
        <w:t> </w:t>
      </w:r>
      <w:r>
        <w:rPr>
          <w:spacing w:val="-8"/>
          <w:sz w:val="32"/>
        </w:rPr>
        <w:t>万元，完成预算 </w:t>
      </w:r>
      <w:r>
        <w:rPr>
          <w:rFonts w:ascii="Times New Roman" w:eastAsia="Times New Roman"/>
          <w:sz w:val="32"/>
        </w:rPr>
        <w:t>100%</w:t>
      </w:r>
      <w:r>
        <w:rPr>
          <w:sz w:val="32"/>
        </w:rPr>
        <w:t>，决算数等于预算数。</w:t>
      </w:r>
    </w:p>
    <w:p>
      <w:pPr>
        <w:pStyle w:val="ListParagraph"/>
        <w:numPr>
          <w:ilvl w:val="0"/>
          <w:numId w:val="1"/>
        </w:numPr>
        <w:tabs>
          <w:tab w:pos="1481" w:val="left" w:leader="none"/>
        </w:tabs>
        <w:spacing w:line="252" w:lineRule="auto" w:before="0" w:after="0"/>
        <w:ind w:left="600" w:right="1053" w:firstLine="640"/>
        <w:jc w:val="both"/>
        <w:rPr>
          <w:sz w:val="32"/>
        </w:rPr>
      </w:pPr>
      <w:r>
        <w:rPr>
          <w:b/>
          <w:w w:val="95"/>
          <w:sz w:val="32"/>
        </w:rPr>
        <w:t>社会保障和就业（类）行政事业单位离退休（款）机关事业单 </w:t>
      </w:r>
      <w:r>
        <w:rPr>
          <w:b/>
          <w:spacing w:val="-4"/>
          <w:sz w:val="32"/>
        </w:rPr>
        <w:t>位基本养老保险缴费支出</w:t>
      </w:r>
      <w:r>
        <w:rPr>
          <w:b/>
          <w:sz w:val="32"/>
        </w:rPr>
        <w:t>（项</w:t>
      </w:r>
      <w:r>
        <w:rPr>
          <w:b/>
          <w:spacing w:val="-35"/>
          <w:sz w:val="32"/>
        </w:rPr>
        <w:t>）：</w:t>
      </w:r>
      <w:r>
        <w:rPr>
          <w:spacing w:val="-13"/>
          <w:sz w:val="32"/>
        </w:rPr>
        <w:t>支出决算为 </w:t>
      </w:r>
      <w:r>
        <w:rPr>
          <w:rFonts w:ascii="Times New Roman" w:eastAsia="Times New Roman"/>
          <w:sz w:val="32"/>
        </w:rPr>
        <w:t>138.13</w:t>
      </w:r>
      <w:r>
        <w:rPr>
          <w:rFonts w:ascii="Times New Roman" w:eastAsia="Times New Roman"/>
          <w:spacing w:val="-8"/>
          <w:sz w:val="32"/>
        </w:rPr>
        <w:t> </w:t>
      </w:r>
      <w:r>
        <w:rPr>
          <w:spacing w:val="-6"/>
          <w:sz w:val="32"/>
        </w:rPr>
        <w:t>万元，完成预算</w:t>
      </w:r>
      <w:r>
        <w:rPr>
          <w:rFonts w:ascii="Times New Roman" w:eastAsia="Times New Roman"/>
          <w:spacing w:val="-6"/>
          <w:sz w:val="32"/>
        </w:rPr>
        <w:t>100%</w:t>
      </w:r>
      <w:r>
        <w:rPr>
          <w:spacing w:val="-6"/>
          <w:sz w:val="32"/>
        </w:rPr>
        <w:t>，决算数等于预算数。</w:t>
      </w:r>
    </w:p>
    <w:p>
      <w:pPr>
        <w:pStyle w:val="ListParagraph"/>
        <w:numPr>
          <w:ilvl w:val="0"/>
          <w:numId w:val="1"/>
        </w:numPr>
        <w:tabs>
          <w:tab w:pos="1481" w:val="left" w:leader="none"/>
        </w:tabs>
        <w:spacing w:line="252" w:lineRule="auto" w:before="0" w:after="0"/>
        <w:ind w:left="600" w:right="894" w:firstLine="640"/>
        <w:jc w:val="left"/>
        <w:rPr>
          <w:sz w:val="32"/>
        </w:rPr>
      </w:pPr>
      <w:r>
        <w:rPr>
          <w:b/>
          <w:sz w:val="32"/>
        </w:rPr>
        <w:t>社会保障和就业（类）行政事业单位离退休（款）机关事业单</w:t>
      </w:r>
      <w:r>
        <w:rPr>
          <w:b/>
          <w:spacing w:val="-10"/>
          <w:sz w:val="32"/>
        </w:rPr>
        <w:t>位职业年金缴费支出</w:t>
      </w:r>
      <w:r>
        <w:rPr>
          <w:b/>
          <w:sz w:val="32"/>
        </w:rPr>
        <w:t>（项</w:t>
      </w:r>
      <w:r>
        <w:rPr>
          <w:b/>
          <w:spacing w:val="-81"/>
          <w:sz w:val="32"/>
        </w:rPr>
        <w:t>）：</w:t>
      </w:r>
      <w:r>
        <w:rPr>
          <w:spacing w:val="-12"/>
          <w:sz w:val="32"/>
        </w:rPr>
        <w:t>支出决算为 </w:t>
      </w:r>
      <w:r>
        <w:rPr>
          <w:rFonts w:ascii="Times New Roman" w:eastAsia="Times New Roman"/>
          <w:sz w:val="32"/>
        </w:rPr>
        <w:t>63.74</w:t>
      </w:r>
      <w:r>
        <w:rPr>
          <w:rFonts w:ascii="Times New Roman" w:eastAsia="Times New Roman"/>
          <w:spacing w:val="-5"/>
          <w:sz w:val="32"/>
        </w:rPr>
        <w:t> </w:t>
      </w:r>
      <w:r>
        <w:rPr>
          <w:spacing w:val="-20"/>
          <w:sz w:val="32"/>
        </w:rPr>
        <w:t>万元，完成预算 </w:t>
      </w:r>
      <w:r>
        <w:rPr>
          <w:rFonts w:ascii="Times New Roman" w:eastAsia="Times New Roman"/>
          <w:sz w:val="32"/>
        </w:rPr>
        <w:t>100%</w:t>
      </w:r>
      <w:r>
        <w:rPr>
          <w:sz w:val="32"/>
        </w:rPr>
        <w:t>， 决算数等于预算数。</w:t>
      </w:r>
    </w:p>
    <w:p>
      <w:pPr>
        <w:pStyle w:val="ListParagraph"/>
        <w:numPr>
          <w:ilvl w:val="0"/>
          <w:numId w:val="1"/>
        </w:numPr>
        <w:tabs>
          <w:tab w:pos="1481" w:val="left" w:leader="none"/>
        </w:tabs>
        <w:spacing w:line="252" w:lineRule="auto" w:before="0" w:after="0"/>
        <w:ind w:left="600" w:right="1053" w:firstLine="640"/>
        <w:jc w:val="both"/>
        <w:rPr>
          <w:sz w:val="32"/>
        </w:rPr>
      </w:pPr>
      <w:r>
        <w:rPr>
          <w:b/>
          <w:w w:val="95"/>
          <w:sz w:val="32"/>
        </w:rPr>
        <w:t>医疗卫生与计划生育（类）行政事业单位医疗（款）事业单位 </w:t>
      </w:r>
      <w:r>
        <w:rPr>
          <w:b/>
          <w:spacing w:val="8"/>
          <w:sz w:val="32"/>
        </w:rPr>
        <w:t>医疗</w:t>
      </w:r>
      <w:r>
        <w:rPr>
          <w:b/>
          <w:spacing w:val="7"/>
          <w:sz w:val="32"/>
        </w:rPr>
        <w:t>（</w:t>
      </w:r>
      <w:r>
        <w:rPr>
          <w:b/>
          <w:spacing w:val="9"/>
          <w:sz w:val="32"/>
        </w:rPr>
        <w:t>项</w:t>
      </w:r>
      <w:r>
        <w:rPr>
          <w:b/>
          <w:spacing w:val="8"/>
          <w:sz w:val="32"/>
        </w:rPr>
        <w:t>）：</w:t>
      </w:r>
      <w:r>
        <w:rPr>
          <w:spacing w:val="-7"/>
          <w:sz w:val="32"/>
        </w:rPr>
        <w:t>支出决算为 </w:t>
      </w:r>
      <w:r>
        <w:rPr>
          <w:rFonts w:ascii="Times New Roman" w:eastAsia="Times New Roman"/>
          <w:sz w:val="32"/>
        </w:rPr>
        <w:t>59.65</w:t>
      </w:r>
      <w:r>
        <w:rPr>
          <w:rFonts w:ascii="Times New Roman" w:eastAsia="Times New Roman"/>
          <w:spacing w:val="-4"/>
          <w:sz w:val="32"/>
        </w:rPr>
        <w:t> </w:t>
      </w:r>
      <w:r>
        <w:rPr>
          <w:spacing w:val="-3"/>
          <w:sz w:val="32"/>
        </w:rPr>
        <w:t>万元，完成预算 </w:t>
      </w:r>
      <w:r>
        <w:rPr>
          <w:rFonts w:ascii="Times New Roman" w:eastAsia="Times New Roman"/>
          <w:spacing w:val="2"/>
          <w:sz w:val="32"/>
        </w:rPr>
        <w:t>100%</w:t>
      </w:r>
      <w:r>
        <w:rPr>
          <w:spacing w:val="4"/>
          <w:sz w:val="32"/>
        </w:rPr>
        <w:t>，决算数等于预算数。</w:t>
      </w:r>
    </w:p>
    <w:p>
      <w:pPr>
        <w:spacing w:after="0" w:line="252" w:lineRule="auto"/>
        <w:jc w:val="both"/>
        <w:rPr>
          <w:sz w:val="32"/>
        </w:rPr>
        <w:sectPr>
          <w:pgSz w:w="11910" w:h="16840"/>
          <w:pgMar w:header="0" w:footer="1350" w:top="1580" w:bottom="1540" w:left="660" w:right="40"/>
        </w:sectPr>
      </w:pPr>
    </w:p>
    <w:p>
      <w:pPr>
        <w:pStyle w:val="ListParagraph"/>
        <w:numPr>
          <w:ilvl w:val="0"/>
          <w:numId w:val="1"/>
        </w:numPr>
        <w:tabs>
          <w:tab w:pos="1481" w:val="left" w:leader="none"/>
        </w:tabs>
        <w:spacing w:line="252" w:lineRule="auto" w:before="52" w:after="0"/>
        <w:ind w:left="600" w:right="1053" w:firstLine="640"/>
        <w:jc w:val="both"/>
        <w:rPr>
          <w:sz w:val="32"/>
        </w:rPr>
      </w:pPr>
      <w:r>
        <w:rPr>
          <w:b/>
          <w:w w:val="95"/>
          <w:sz w:val="32"/>
        </w:rPr>
        <w:t>医疗卫生与计划生育（类）行政事业单位医疗（款）公务员医 </w:t>
      </w:r>
      <w:r>
        <w:rPr>
          <w:b/>
          <w:spacing w:val="7"/>
          <w:sz w:val="32"/>
        </w:rPr>
        <w:t>疗补助（</w:t>
      </w:r>
      <w:r>
        <w:rPr>
          <w:b/>
          <w:spacing w:val="9"/>
          <w:sz w:val="32"/>
        </w:rPr>
        <w:t>项</w:t>
      </w:r>
      <w:r>
        <w:rPr>
          <w:b/>
          <w:spacing w:val="8"/>
          <w:sz w:val="32"/>
        </w:rPr>
        <w:t>）：</w:t>
      </w:r>
      <w:r>
        <w:rPr>
          <w:spacing w:val="-7"/>
          <w:sz w:val="32"/>
        </w:rPr>
        <w:t>支出决算为 </w:t>
      </w:r>
      <w:r>
        <w:rPr>
          <w:rFonts w:ascii="Times New Roman" w:eastAsia="Times New Roman"/>
          <w:sz w:val="32"/>
        </w:rPr>
        <w:t>10.20</w:t>
      </w:r>
      <w:r>
        <w:rPr>
          <w:rFonts w:ascii="Times New Roman" w:eastAsia="Times New Roman"/>
          <w:spacing w:val="-5"/>
          <w:sz w:val="32"/>
        </w:rPr>
        <w:t> </w:t>
      </w:r>
      <w:r>
        <w:rPr>
          <w:spacing w:val="-3"/>
          <w:sz w:val="32"/>
        </w:rPr>
        <w:t>万元，完成预算 </w:t>
      </w:r>
      <w:r>
        <w:rPr>
          <w:rFonts w:ascii="Times New Roman" w:eastAsia="Times New Roman"/>
          <w:spacing w:val="2"/>
          <w:sz w:val="32"/>
        </w:rPr>
        <w:t>100%</w:t>
      </w:r>
      <w:r>
        <w:rPr>
          <w:spacing w:val="4"/>
          <w:sz w:val="32"/>
        </w:rPr>
        <w:t>，决算数等于预算数。</w:t>
      </w:r>
    </w:p>
    <w:p>
      <w:pPr>
        <w:pStyle w:val="ListParagraph"/>
        <w:numPr>
          <w:ilvl w:val="0"/>
          <w:numId w:val="1"/>
        </w:numPr>
        <w:tabs>
          <w:tab w:pos="1481" w:val="left" w:leader="none"/>
        </w:tabs>
        <w:spacing w:line="252" w:lineRule="auto" w:before="0" w:after="0"/>
        <w:ind w:left="600" w:right="1050" w:firstLine="640"/>
        <w:jc w:val="both"/>
        <w:rPr>
          <w:sz w:val="32"/>
        </w:rPr>
      </w:pPr>
      <w:r>
        <w:rPr>
          <w:b/>
          <w:w w:val="95"/>
          <w:sz w:val="32"/>
        </w:rPr>
        <w:t>住房保障支出（类）住房改革支出（款）住房公积金（项</w:t>
      </w:r>
      <w:r>
        <w:rPr>
          <w:b/>
          <w:spacing w:val="2"/>
          <w:w w:val="95"/>
          <w:sz w:val="32"/>
        </w:rPr>
        <w:t>）： </w:t>
      </w:r>
      <w:r>
        <w:rPr>
          <w:spacing w:val="-11"/>
          <w:sz w:val="32"/>
        </w:rPr>
        <w:t>支出决算为 </w:t>
      </w:r>
      <w:r>
        <w:rPr>
          <w:rFonts w:ascii="Times New Roman" w:eastAsia="Times New Roman"/>
          <w:sz w:val="32"/>
        </w:rPr>
        <w:t>116.15</w:t>
      </w:r>
      <w:r>
        <w:rPr>
          <w:rFonts w:ascii="Times New Roman" w:eastAsia="Times New Roman"/>
          <w:spacing w:val="-4"/>
          <w:sz w:val="32"/>
        </w:rPr>
        <w:t> </w:t>
      </w:r>
      <w:r>
        <w:rPr>
          <w:spacing w:val="-8"/>
          <w:sz w:val="32"/>
        </w:rPr>
        <w:t>万元，完成预算 </w:t>
      </w:r>
      <w:r>
        <w:rPr>
          <w:rFonts w:ascii="Times New Roman" w:eastAsia="Times New Roman"/>
          <w:sz w:val="32"/>
        </w:rPr>
        <w:t>100%</w:t>
      </w:r>
      <w:r>
        <w:rPr>
          <w:sz w:val="32"/>
        </w:rPr>
        <w:t>，决算数等于预算数。</w:t>
      </w:r>
    </w:p>
    <w:p>
      <w:pPr>
        <w:pStyle w:val="BodyText"/>
        <w:spacing w:line="503" w:lineRule="exact"/>
        <w:ind w:left="1240"/>
        <w:rPr>
          <w:rFonts w:ascii="方正黑体_GBK" w:eastAsia="方正黑体_GBK" w:hint="eastAsia"/>
        </w:rPr>
      </w:pPr>
      <w:bookmarkStart w:name="六、一般公共预算财政拨款基本支出决算情况说明" w:id="25"/>
      <w:bookmarkEnd w:id="25"/>
      <w:r>
        <w:rPr/>
      </w:r>
      <w:bookmarkStart w:name="_bookmark9" w:id="26"/>
      <w:bookmarkEnd w:id="26"/>
      <w:r>
        <w:rPr/>
      </w:r>
      <w:r>
        <w:rPr>
          <w:rFonts w:ascii="方正黑体_GBK" w:eastAsia="方正黑体_GBK" w:hint="eastAsia"/>
        </w:rPr>
        <w:t>六、一般公共预算财政拨款基本支出决算情况说明</w:t>
      </w:r>
    </w:p>
    <w:p>
      <w:pPr>
        <w:pStyle w:val="BodyText"/>
        <w:spacing w:before="33"/>
        <w:ind w:left="1240"/>
      </w:pPr>
      <w:r>
        <w:rPr>
          <w:rFonts w:ascii="Times New Roman" w:eastAsia="Times New Roman"/>
        </w:rPr>
        <w:t>2019 </w:t>
      </w:r>
      <w:r>
        <w:rPr/>
        <w:t>年一般公共预算财政拨款基本支出 </w:t>
      </w:r>
      <w:r>
        <w:rPr>
          <w:rFonts w:ascii="Times New Roman" w:eastAsia="Times New Roman"/>
        </w:rPr>
        <w:t>1943.84 </w:t>
      </w:r>
      <w:r>
        <w:rPr/>
        <w:t>万元，与上年相</w:t>
      </w:r>
    </w:p>
    <w:p>
      <w:pPr>
        <w:pStyle w:val="BodyText"/>
        <w:spacing w:line="252" w:lineRule="auto" w:before="25"/>
        <w:ind w:left="600" w:right="858"/>
      </w:pPr>
      <w:r>
        <w:rPr/>
        <w:t>比增加 </w:t>
      </w:r>
      <w:r>
        <w:rPr>
          <w:rFonts w:ascii="Times New Roman" w:eastAsia="Times New Roman"/>
        </w:rPr>
        <w:t>148.03 </w:t>
      </w:r>
      <w:r>
        <w:rPr/>
        <w:t>万元，主要变动原因：人员经费增加，公用经费增加， 其中：</w:t>
      </w:r>
    </w:p>
    <w:p>
      <w:pPr>
        <w:pStyle w:val="BodyText"/>
        <w:spacing w:line="252" w:lineRule="auto"/>
        <w:ind w:left="600" w:right="900" w:firstLine="645"/>
      </w:pPr>
      <w:r>
        <w:rPr>
          <w:spacing w:val="-12"/>
        </w:rPr>
        <w:t>人员经费 </w:t>
      </w:r>
      <w:r>
        <w:rPr>
          <w:rFonts w:ascii="Times New Roman" w:eastAsia="Times New Roman"/>
        </w:rPr>
        <w:t>1643.89 </w:t>
      </w:r>
      <w:r>
        <w:rPr/>
        <w:t>万元，主要包括：基本工资、津贴补贴、绩效</w:t>
      </w:r>
      <w:r>
        <w:rPr>
          <w:spacing w:val="-6"/>
        </w:rPr>
        <w:t>工资、机关事业单位基本养老保险缴费、职业年金缴费、职工基本医</w:t>
      </w:r>
      <w:r>
        <w:rPr>
          <w:spacing w:val="-18"/>
          <w:w w:val="95"/>
        </w:rPr>
        <w:t>疗保险缴费、公务员医疗补助缴费、其他社会保障缴费、住房公积金、  </w:t>
      </w:r>
      <w:r>
        <w:rPr>
          <w:spacing w:val="-18"/>
        </w:rPr>
        <w:t>抚恤金、其他个人和家庭的补助支出等。</w:t>
      </w:r>
    </w:p>
    <w:p>
      <w:pPr>
        <w:pStyle w:val="BodyText"/>
        <w:spacing w:line="252" w:lineRule="auto"/>
        <w:ind w:left="600" w:right="900" w:firstLine="640"/>
      </w:pPr>
      <w:r>
        <w:rPr>
          <w:spacing w:val="-15"/>
        </w:rPr>
        <w:t>公用经费 </w:t>
      </w:r>
      <w:r>
        <w:rPr>
          <w:rFonts w:ascii="Times New Roman" w:eastAsia="Times New Roman"/>
        </w:rPr>
        <w:t>299.95</w:t>
      </w:r>
      <w:r>
        <w:rPr>
          <w:rFonts w:ascii="Times New Roman" w:eastAsia="Times New Roman"/>
          <w:spacing w:val="-9"/>
        </w:rPr>
        <w:t> </w:t>
      </w:r>
      <w:r>
        <w:rPr>
          <w:spacing w:val="-18"/>
        </w:rPr>
        <w:t>万元，主要包括：办公费、水费、电费、邮电费、</w:t>
      </w:r>
      <w:r>
        <w:rPr>
          <w:spacing w:val="-13"/>
        </w:rPr>
        <w:t>物业管理费、因公出国</w:t>
      </w:r>
      <w:r>
        <w:rPr/>
        <w:t>（境</w:t>
      </w:r>
      <w:r>
        <w:rPr>
          <w:spacing w:val="-7"/>
        </w:rPr>
        <w:t>）</w:t>
      </w:r>
      <w:r>
        <w:rPr>
          <w:spacing w:val="-5"/>
        </w:rPr>
        <w:t>费用、培训费、劳务费、工会经费、福利费、其他交通费用、其他商品和服务支出等。</w:t>
      </w:r>
    </w:p>
    <w:p>
      <w:pPr>
        <w:pStyle w:val="BodyText"/>
        <w:spacing w:line="489" w:lineRule="exact"/>
        <w:ind w:left="1240"/>
        <w:rPr>
          <w:rFonts w:ascii="方正黑体_GBK" w:hAnsi="方正黑体_GBK" w:eastAsia="方正黑体_GBK" w:hint="eastAsia"/>
        </w:rPr>
      </w:pPr>
      <w:bookmarkStart w:name="七、“三公”经费财政拨款支出决算情况说明" w:id="27"/>
      <w:bookmarkEnd w:id="27"/>
      <w:r>
        <w:rPr/>
      </w:r>
      <w:bookmarkStart w:name="_bookmark10" w:id="28"/>
      <w:bookmarkEnd w:id="28"/>
      <w:r>
        <w:rPr/>
      </w:r>
      <w:r>
        <w:rPr>
          <w:rFonts w:ascii="方正黑体_GBK" w:hAnsi="方正黑体_GBK" w:eastAsia="方正黑体_GBK" w:hint="eastAsia"/>
          <w:w w:val="95"/>
        </w:rPr>
        <w:t>七、</w:t>
      </w:r>
      <w:r>
        <w:rPr>
          <w:rFonts w:ascii="Times New Roman" w:hAnsi="Times New Roman" w:eastAsia="Times New Roman"/>
          <w:b/>
          <w:w w:val="95"/>
        </w:rPr>
        <w:t>“</w:t>
      </w:r>
      <w:r>
        <w:rPr>
          <w:rFonts w:ascii="方正黑体_GBK" w:hAnsi="方正黑体_GBK" w:eastAsia="方正黑体_GBK" w:hint="eastAsia"/>
          <w:w w:val="95"/>
        </w:rPr>
        <w:t>三公</w:t>
      </w:r>
      <w:r>
        <w:rPr>
          <w:rFonts w:ascii="Times New Roman" w:hAnsi="Times New Roman" w:eastAsia="Times New Roman"/>
          <w:w w:val="95"/>
        </w:rPr>
        <w:t>”</w:t>
      </w:r>
      <w:r>
        <w:rPr>
          <w:rFonts w:ascii="方正黑体_GBK" w:hAnsi="方正黑体_GBK" w:eastAsia="方正黑体_GBK" w:hint="eastAsia"/>
          <w:w w:val="95"/>
        </w:rPr>
        <w:t>经费财政拨款支出决算情况说明</w:t>
      </w:r>
    </w:p>
    <w:p>
      <w:pPr>
        <w:pStyle w:val="BodyText"/>
        <w:spacing w:line="576" w:lineRule="exact"/>
        <w:ind w:left="1080"/>
        <w:rPr>
          <w:rFonts w:ascii="微软雅黑" w:hAnsi="微软雅黑" w:eastAsia="微软雅黑" w:hint="eastAsia"/>
        </w:rPr>
      </w:pPr>
      <w:bookmarkStart w:name="（一）“三公”经费财政拨款支出决算总体情况说明" w:id="29"/>
      <w:bookmarkEnd w:id="29"/>
      <w:r>
        <w:rPr/>
      </w:r>
      <w:r>
        <w:rPr>
          <w:rFonts w:ascii="微软雅黑" w:hAnsi="微软雅黑" w:eastAsia="微软雅黑" w:hint="eastAsia"/>
        </w:rPr>
        <w:t>（一）“三公”经费财政拨款支出决算总体情况说明</w:t>
      </w:r>
    </w:p>
    <w:p>
      <w:pPr>
        <w:pStyle w:val="BodyText"/>
        <w:spacing w:before="8"/>
        <w:ind w:left="1240"/>
      </w:pPr>
      <w:r>
        <w:rPr>
          <w:rFonts w:ascii="Times New Roman" w:hAnsi="Times New Roman" w:eastAsia="Times New Roman"/>
        </w:rPr>
        <w:t>2019 </w:t>
      </w:r>
      <w:r>
        <w:rPr/>
        <w:t>年</w:t>
      </w:r>
      <w:r>
        <w:rPr>
          <w:rFonts w:ascii="Times New Roman" w:hAnsi="Times New Roman" w:eastAsia="Times New Roman"/>
        </w:rPr>
        <w:t>“</w:t>
      </w:r>
      <w:r>
        <w:rPr/>
        <w:t>三公</w:t>
      </w:r>
      <w:r>
        <w:rPr>
          <w:rFonts w:ascii="Times New Roman" w:hAnsi="Times New Roman" w:eastAsia="Times New Roman"/>
        </w:rPr>
        <w:t>”</w:t>
      </w:r>
      <w:r>
        <w:rPr/>
        <w:t>经费财政拨款支出决算为 </w:t>
      </w:r>
      <w:r>
        <w:rPr>
          <w:rFonts w:ascii="Times New Roman" w:hAnsi="Times New Roman" w:eastAsia="Times New Roman"/>
        </w:rPr>
        <w:t>14.70 </w:t>
      </w:r>
      <w:r>
        <w:rPr/>
        <w:t>万元，完成预算</w:t>
      </w:r>
    </w:p>
    <w:p>
      <w:pPr>
        <w:pStyle w:val="BodyText"/>
        <w:spacing w:line="496" w:lineRule="exact" w:before="25"/>
        <w:ind w:left="600"/>
      </w:pPr>
      <w:r>
        <w:rPr>
          <w:rFonts w:ascii="Times New Roman" w:eastAsia="Times New Roman"/>
        </w:rPr>
        <w:t>100%</w:t>
      </w:r>
      <w:r>
        <w:rPr/>
        <w:t>，决算数与预算数持平。</w:t>
      </w:r>
    </w:p>
    <w:p>
      <w:pPr>
        <w:pStyle w:val="BodyText"/>
        <w:spacing w:line="571" w:lineRule="exact"/>
        <w:ind w:left="1080"/>
        <w:rPr>
          <w:rFonts w:ascii="微软雅黑" w:hAnsi="微软雅黑" w:eastAsia="微软雅黑" w:hint="eastAsia"/>
        </w:rPr>
      </w:pPr>
      <w:bookmarkStart w:name="（二）“三公”经费财政拨款支出决算具体情况说明" w:id="30"/>
      <w:bookmarkEnd w:id="30"/>
      <w:r>
        <w:rPr/>
      </w:r>
      <w:r>
        <w:rPr>
          <w:rFonts w:ascii="微软雅黑" w:hAnsi="微软雅黑" w:eastAsia="微软雅黑" w:hint="eastAsia"/>
        </w:rPr>
        <w:t>（二）</w:t>
      </w:r>
      <w:r>
        <w:rPr>
          <w:rFonts w:ascii="Times New Roman" w:hAnsi="Times New Roman" w:eastAsia="Times New Roman"/>
        </w:rPr>
        <w:t>“</w:t>
      </w:r>
      <w:r>
        <w:rPr>
          <w:rFonts w:ascii="微软雅黑" w:hAnsi="微软雅黑" w:eastAsia="微软雅黑" w:hint="eastAsia"/>
        </w:rPr>
        <w:t>三公</w:t>
      </w:r>
      <w:r>
        <w:rPr>
          <w:rFonts w:ascii="Times New Roman" w:hAnsi="Times New Roman" w:eastAsia="Times New Roman"/>
        </w:rPr>
        <w:t>”</w:t>
      </w:r>
      <w:r>
        <w:rPr>
          <w:rFonts w:ascii="微软雅黑" w:hAnsi="微软雅黑" w:eastAsia="微软雅黑" w:hint="eastAsia"/>
        </w:rPr>
        <w:t>经费财政拨款支出决算具体情况说明</w:t>
      </w:r>
    </w:p>
    <w:p>
      <w:pPr>
        <w:pStyle w:val="BodyText"/>
        <w:spacing w:before="12"/>
        <w:ind w:right="1056"/>
        <w:jc w:val="right"/>
      </w:pPr>
      <w:r>
        <w:rPr>
          <w:rFonts w:ascii="Times New Roman" w:hAnsi="Times New Roman" w:eastAsia="Times New Roman"/>
        </w:rPr>
        <w:t>2019</w:t>
      </w:r>
      <w:r>
        <w:rPr>
          <w:rFonts w:ascii="Times New Roman" w:hAnsi="Times New Roman" w:eastAsia="Times New Roman"/>
          <w:spacing w:val="-12"/>
        </w:rPr>
        <w:t> </w:t>
      </w:r>
      <w:r>
        <w:rPr/>
        <w:t>年</w:t>
      </w:r>
      <w:r>
        <w:rPr>
          <w:rFonts w:ascii="Times New Roman" w:hAnsi="Times New Roman" w:eastAsia="Times New Roman"/>
        </w:rPr>
        <w:t>“</w:t>
      </w:r>
      <w:r>
        <w:rPr/>
        <w:t>三公</w:t>
      </w:r>
      <w:r>
        <w:rPr>
          <w:rFonts w:ascii="Times New Roman" w:hAnsi="Times New Roman" w:eastAsia="Times New Roman"/>
        </w:rPr>
        <w:t>”</w:t>
      </w:r>
      <w:r>
        <w:rPr>
          <w:spacing w:val="-5"/>
        </w:rPr>
        <w:t>经费财政拨款支出决算中，因公出国</w:t>
      </w:r>
      <w:r>
        <w:rPr/>
        <w:t>（境</w:t>
      </w:r>
      <w:r>
        <w:rPr>
          <w:spacing w:val="-31"/>
        </w:rPr>
        <w:t>）</w:t>
      </w:r>
      <w:r>
        <w:rPr/>
        <w:t>费支出</w:t>
      </w:r>
    </w:p>
    <w:p>
      <w:pPr>
        <w:pStyle w:val="BodyText"/>
        <w:spacing w:before="25"/>
        <w:ind w:right="1059"/>
        <w:jc w:val="right"/>
        <w:rPr>
          <w:rFonts w:ascii="Times New Roman" w:eastAsia="Times New Roman"/>
        </w:rPr>
      </w:pPr>
      <w:r>
        <w:rPr>
          <w:spacing w:val="-17"/>
        </w:rPr>
        <w:t>决算 </w:t>
      </w:r>
      <w:r>
        <w:rPr>
          <w:rFonts w:ascii="Times New Roman" w:eastAsia="Times New Roman"/>
        </w:rPr>
        <w:t>14.70</w:t>
      </w:r>
      <w:r>
        <w:rPr>
          <w:rFonts w:ascii="Times New Roman" w:eastAsia="Times New Roman"/>
          <w:spacing w:val="2"/>
        </w:rPr>
        <w:t> </w:t>
      </w:r>
      <w:r>
        <w:rPr>
          <w:spacing w:val="-7"/>
        </w:rPr>
        <w:t>万元，占 </w:t>
      </w:r>
      <w:r>
        <w:rPr>
          <w:rFonts w:ascii="Times New Roman" w:eastAsia="Times New Roman"/>
          <w:spacing w:val="3"/>
        </w:rPr>
        <w:t>100%</w:t>
      </w:r>
      <w:r>
        <w:rPr>
          <w:spacing w:val="3"/>
        </w:rPr>
        <w:t>；公务用车购置及运行维护费支出决算 </w:t>
      </w:r>
      <w:r>
        <w:rPr>
          <w:rFonts w:ascii="Times New Roman" w:eastAsia="Times New Roman"/>
        </w:rPr>
        <w:t>0</w:t>
      </w:r>
    </w:p>
    <w:p>
      <w:pPr>
        <w:pStyle w:val="BodyText"/>
        <w:spacing w:before="25"/>
        <w:ind w:left="600"/>
      </w:pPr>
      <w:r>
        <w:rPr/>
        <w:t>万元，占 </w:t>
      </w:r>
      <w:r>
        <w:rPr>
          <w:rFonts w:ascii="Times New Roman" w:eastAsia="Times New Roman"/>
        </w:rPr>
        <w:t>0%</w:t>
      </w:r>
      <w:r>
        <w:rPr/>
        <w:t>；公务接待费支出决算 </w:t>
      </w:r>
      <w:r>
        <w:rPr>
          <w:rFonts w:ascii="Times New Roman" w:eastAsia="Times New Roman"/>
        </w:rPr>
        <w:t>0 </w:t>
      </w:r>
      <w:r>
        <w:rPr/>
        <w:t>万元，占 </w:t>
      </w:r>
      <w:r>
        <w:rPr>
          <w:rFonts w:ascii="Times New Roman" w:eastAsia="Times New Roman"/>
        </w:rPr>
        <w:t>0%</w:t>
      </w:r>
      <w:r>
        <w:rPr/>
        <w:t>。具体情况如下：</w:t>
      </w:r>
    </w:p>
    <w:p>
      <w:pPr>
        <w:spacing w:after="0"/>
        <w:sectPr>
          <w:footerReference w:type="even" r:id="rId15"/>
          <w:footerReference w:type="default" r:id="rId16"/>
          <w:pgSz w:w="11910" w:h="16840"/>
          <w:pgMar w:footer="1350" w:header="0" w:top="1600" w:bottom="1540" w:left="660" w:right="40"/>
          <w:pgNumType w:start="10"/>
        </w:sectPr>
      </w:pPr>
    </w:p>
    <w:p>
      <w:pPr>
        <w:pStyle w:val="BodyText"/>
        <w:spacing w:before="8"/>
        <w:rPr>
          <w:sz w:val="14"/>
        </w:rPr>
      </w:pPr>
    </w:p>
    <w:p>
      <w:pPr>
        <w:pStyle w:val="BodyText"/>
        <w:ind w:left="1183"/>
        <w:rPr>
          <w:sz w:val="20"/>
        </w:rPr>
      </w:pPr>
      <w:r>
        <w:rPr>
          <w:sz w:val="20"/>
        </w:rPr>
        <w:drawing>
          <wp:inline distT="0" distB="0" distL="0" distR="0">
            <wp:extent cx="4691762" cy="2916459"/>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7" cstate="print"/>
                    <a:stretch>
                      <a:fillRect/>
                    </a:stretch>
                  </pic:blipFill>
                  <pic:spPr>
                    <a:xfrm>
                      <a:off x="0" y="0"/>
                      <a:ext cx="4691762" cy="2916459"/>
                    </a:xfrm>
                    <a:prstGeom prst="rect">
                      <a:avLst/>
                    </a:prstGeom>
                  </pic:spPr>
                </pic:pic>
              </a:graphicData>
            </a:graphic>
          </wp:inline>
        </w:drawing>
      </w:r>
      <w:r>
        <w:rPr>
          <w:sz w:val="20"/>
        </w:rPr>
      </w:r>
    </w:p>
    <w:p>
      <w:pPr>
        <w:pStyle w:val="BodyText"/>
        <w:spacing w:before="85"/>
        <w:ind w:left="1080"/>
        <w:jc w:val="both"/>
      </w:pPr>
      <w:r>
        <w:rPr/>
        <w:t>（图 </w:t>
      </w:r>
      <w:r>
        <w:rPr>
          <w:rFonts w:ascii="Times New Roman" w:hAnsi="Times New Roman" w:eastAsia="Times New Roman"/>
        </w:rPr>
        <w:t>7</w:t>
      </w:r>
      <w:r>
        <w:rPr/>
        <w:t>：</w:t>
      </w:r>
      <w:r>
        <w:rPr>
          <w:rFonts w:ascii="Times New Roman" w:hAnsi="Times New Roman" w:eastAsia="Times New Roman"/>
        </w:rPr>
        <w:t>“</w:t>
      </w:r>
      <w:r>
        <w:rPr/>
        <w:t>三公</w:t>
      </w:r>
      <w:r>
        <w:rPr>
          <w:rFonts w:ascii="Times New Roman" w:hAnsi="Times New Roman" w:eastAsia="Times New Roman"/>
        </w:rPr>
        <w:t>”</w:t>
      </w:r>
      <w:r>
        <w:rPr/>
        <w:t>经费财政拨款支出结构）</w:t>
      </w:r>
    </w:p>
    <w:p>
      <w:pPr>
        <w:pStyle w:val="ListParagraph"/>
        <w:numPr>
          <w:ilvl w:val="0"/>
          <w:numId w:val="2"/>
        </w:numPr>
        <w:tabs>
          <w:tab w:pos="1483" w:val="left" w:leader="none"/>
        </w:tabs>
        <w:spacing w:line="252" w:lineRule="auto" w:before="25" w:after="0"/>
        <w:ind w:left="600" w:right="1053" w:firstLine="640"/>
        <w:jc w:val="both"/>
        <w:rPr>
          <w:rFonts w:ascii="Times New Roman" w:eastAsia="Times New Roman"/>
          <w:sz w:val="32"/>
        </w:rPr>
      </w:pPr>
      <w:r>
        <w:rPr>
          <w:b/>
          <w:spacing w:val="-6"/>
          <w:sz w:val="32"/>
        </w:rPr>
        <w:t>因公出国</w:t>
      </w:r>
      <w:r>
        <w:rPr>
          <w:b/>
          <w:sz w:val="32"/>
        </w:rPr>
        <w:t>（境</w:t>
      </w:r>
      <w:r>
        <w:rPr>
          <w:b/>
          <w:spacing w:val="-22"/>
          <w:sz w:val="32"/>
        </w:rPr>
        <w:t>）</w:t>
      </w:r>
      <w:r>
        <w:rPr>
          <w:b/>
          <w:spacing w:val="-14"/>
          <w:sz w:val="32"/>
        </w:rPr>
        <w:t>经费支出 </w:t>
      </w:r>
      <w:r>
        <w:rPr>
          <w:rFonts w:ascii="Times New Roman" w:eastAsia="Times New Roman"/>
          <w:sz w:val="32"/>
        </w:rPr>
        <w:t>14.70</w:t>
      </w:r>
      <w:r>
        <w:rPr>
          <w:rFonts w:ascii="Times New Roman" w:eastAsia="Times New Roman"/>
          <w:spacing w:val="-6"/>
          <w:sz w:val="32"/>
        </w:rPr>
        <w:t> </w:t>
      </w:r>
      <w:r>
        <w:rPr>
          <w:spacing w:val="-13"/>
          <w:sz w:val="32"/>
        </w:rPr>
        <w:t>万元，完成预算 </w:t>
      </w:r>
      <w:r>
        <w:rPr>
          <w:rFonts w:ascii="Times New Roman" w:eastAsia="Times New Roman"/>
          <w:sz w:val="32"/>
        </w:rPr>
        <w:t>100%</w:t>
      </w:r>
      <w:r>
        <w:rPr>
          <w:spacing w:val="-6"/>
          <w:sz w:val="32"/>
        </w:rPr>
        <w:t>。全年安</w:t>
      </w:r>
      <w:r>
        <w:rPr>
          <w:spacing w:val="-9"/>
          <w:sz w:val="32"/>
        </w:rPr>
        <w:t>排因公出国</w:t>
      </w:r>
      <w:r>
        <w:rPr>
          <w:sz w:val="32"/>
        </w:rPr>
        <w:t>（境</w:t>
      </w:r>
      <w:r>
        <w:rPr>
          <w:spacing w:val="-15"/>
          <w:sz w:val="32"/>
        </w:rPr>
        <w:t>）</w:t>
      </w:r>
      <w:r>
        <w:rPr>
          <w:spacing w:val="-22"/>
          <w:sz w:val="32"/>
        </w:rPr>
        <w:t>团组 </w:t>
      </w:r>
      <w:r>
        <w:rPr>
          <w:rFonts w:ascii="Times New Roman" w:eastAsia="Times New Roman"/>
          <w:sz w:val="32"/>
        </w:rPr>
        <w:t>2</w:t>
      </w:r>
      <w:r>
        <w:rPr>
          <w:rFonts w:ascii="Times New Roman" w:eastAsia="Times New Roman"/>
          <w:spacing w:val="-5"/>
          <w:sz w:val="32"/>
        </w:rPr>
        <w:t> </w:t>
      </w:r>
      <w:r>
        <w:rPr>
          <w:spacing w:val="-9"/>
          <w:sz w:val="32"/>
        </w:rPr>
        <w:t>次，出国</w:t>
      </w:r>
      <w:r>
        <w:rPr>
          <w:sz w:val="32"/>
        </w:rPr>
        <w:t>（境</w:t>
      </w:r>
      <w:r>
        <w:rPr>
          <w:spacing w:val="-6"/>
          <w:sz w:val="32"/>
        </w:rPr>
        <w:t>）</w:t>
      </w:r>
      <w:r>
        <w:rPr>
          <w:rFonts w:ascii="Times New Roman" w:eastAsia="Times New Roman"/>
          <w:spacing w:val="-6"/>
          <w:sz w:val="32"/>
        </w:rPr>
        <w:t>12</w:t>
      </w:r>
      <w:r>
        <w:rPr>
          <w:rFonts w:ascii="Times New Roman" w:eastAsia="Times New Roman"/>
          <w:spacing w:val="-5"/>
          <w:sz w:val="32"/>
        </w:rPr>
        <w:t> </w:t>
      </w:r>
      <w:r>
        <w:rPr>
          <w:spacing w:val="-6"/>
          <w:sz w:val="32"/>
        </w:rPr>
        <w:t>人。因公出国</w:t>
      </w:r>
      <w:r>
        <w:rPr>
          <w:sz w:val="32"/>
        </w:rPr>
        <w:t>（境</w:t>
      </w:r>
      <w:r>
        <w:rPr>
          <w:spacing w:val="-15"/>
          <w:sz w:val="32"/>
        </w:rPr>
        <w:t>）</w:t>
      </w:r>
      <w:r>
        <w:rPr>
          <w:sz w:val="32"/>
        </w:rPr>
        <w:t>支出</w:t>
      </w:r>
      <w:r>
        <w:rPr>
          <w:spacing w:val="-9"/>
          <w:sz w:val="32"/>
        </w:rPr>
        <w:t>决算比 </w:t>
      </w:r>
      <w:r>
        <w:rPr>
          <w:rFonts w:ascii="Times New Roman" w:eastAsia="Times New Roman"/>
          <w:sz w:val="32"/>
        </w:rPr>
        <w:t>2018</w:t>
      </w:r>
      <w:r>
        <w:rPr>
          <w:rFonts w:ascii="Times New Roman" w:eastAsia="Times New Roman"/>
          <w:spacing w:val="8"/>
          <w:sz w:val="32"/>
        </w:rPr>
        <w:t> </w:t>
      </w:r>
      <w:r>
        <w:rPr>
          <w:spacing w:val="-8"/>
          <w:sz w:val="32"/>
        </w:rPr>
        <w:t>年增加 </w:t>
      </w:r>
      <w:r>
        <w:rPr>
          <w:rFonts w:ascii="Times New Roman" w:eastAsia="Times New Roman"/>
          <w:sz w:val="32"/>
        </w:rPr>
        <w:t>12.70</w:t>
      </w:r>
      <w:r>
        <w:rPr>
          <w:rFonts w:ascii="Times New Roman" w:eastAsia="Times New Roman"/>
          <w:spacing w:val="6"/>
          <w:sz w:val="32"/>
        </w:rPr>
        <w:t> </w:t>
      </w:r>
      <w:r>
        <w:rPr>
          <w:spacing w:val="-2"/>
          <w:sz w:val="32"/>
        </w:rPr>
        <w:t>万元，增长 </w:t>
      </w:r>
      <w:r>
        <w:rPr>
          <w:rFonts w:ascii="Times New Roman" w:eastAsia="Times New Roman"/>
          <w:spacing w:val="2"/>
          <w:sz w:val="32"/>
        </w:rPr>
        <w:t>635%</w:t>
      </w:r>
      <w:r>
        <w:rPr>
          <w:spacing w:val="2"/>
          <w:sz w:val="32"/>
        </w:rPr>
        <w:t>。主要变动原因是 </w:t>
      </w:r>
      <w:r>
        <w:rPr>
          <w:rFonts w:ascii="Times New Roman" w:eastAsia="Times New Roman"/>
          <w:sz w:val="32"/>
        </w:rPr>
        <w:t>2019</w:t>
      </w:r>
    </w:p>
    <w:p>
      <w:pPr>
        <w:pStyle w:val="BodyText"/>
        <w:spacing w:line="513" w:lineRule="exact"/>
        <w:ind w:left="600"/>
        <w:jc w:val="both"/>
      </w:pPr>
      <w:r>
        <w:rPr/>
        <w:t>年安排 </w:t>
      </w:r>
      <w:r>
        <w:rPr>
          <w:rFonts w:ascii="Times New Roman" w:eastAsia="Times New Roman"/>
        </w:rPr>
        <w:t>2 </w:t>
      </w:r>
      <w:r>
        <w:rPr/>
        <w:t>批次 </w:t>
      </w:r>
      <w:r>
        <w:rPr>
          <w:rFonts w:ascii="Times New Roman" w:eastAsia="Times New Roman"/>
        </w:rPr>
        <w:t>12 </w:t>
      </w:r>
      <w:r>
        <w:rPr/>
        <w:t>人次出国交流培训。</w:t>
      </w:r>
    </w:p>
    <w:p>
      <w:pPr>
        <w:pStyle w:val="BodyText"/>
        <w:spacing w:before="25"/>
        <w:ind w:left="1240"/>
        <w:jc w:val="both"/>
      </w:pPr>
      <w:r>
        <w:rPr>
          <w:rFonts w:ascii="仿宋" w:eastAsia="仿宋" w:hint="eastAsia"/>
        </w:rPr>
        <w:t>开支内容包括：学校</w:t>
      </w:r>
      <w:r>
        <w:rPr/>
        <w:t>排 </w:t>
      </w:r>
      <w:r>
        <w:rPr>
          <w:rFonts w:ascii="Times New Roman" w:eastAsia="Times New Roman"/>
        </w:rPr>
        <w:t>2 </w:t>
      </w:r>
      <w:r>
        <w:rPr/>
        <w:t>批次 </w:t>
      </w:r>
      <w:r>
        <w:rPr>
          <w:rFonts w:ascii="Times New Roman" w:eastAsia="Times New Roman"/>
        </w:rPr>
        <w:t>12 </w:t>
      </w:r>
      <w:r>
        <w:rPr/>
        <w:t>人次出国交流培训，经费支出</w:t>
      </w:r>
    </w:p>
    <w:p>
      <w:pPr>
        <w:pStyle w:val="BodyText"/>
        <w:spacing w:before="25"/>
        <w:ind w:left="600"/>
      </w:pPr>
      <w:r>
        <w:rPr>
          <w:rFonts w:ascii="Times New Roman" w:eastAsia="Times New Roman"/>
        </w:rPr>
        <w:t>14.70 </w:t>
      </w:r>
      <w:r>
        <w:rPr/>
        <w:t>万元。</w:t>
      </w:r>
    </w:p>
    <w:p>
      <w:pPr>
        <w:pStyle w:val="ListParagraph"/>
        <w:numPr>
          <w:ilvl w:val="0"/>
          <w:numId w:val="2"/>
        </w:numPr>
        <w:tabs>
          <w:tab w:pos="1486" w:val="left" w:leader="none"/>
        </w:tabs>
        <w:spacing w:line="252" w:lineRule="auto" w:before="25" w:after="0"/>
        <w:ind w:left="600" w:right="981" w:firstLine="640"/>
        <w:jc w:val="both"/>
        <w:rPr>
          <w:sz w:val="32"/>
        </w:rPr>
      </w:pPr>
      <w:r>
        <w:rPr>
          <w:b/>
          <w:spacing w:val="1"/>
          <w:sz w:val="32"/>
        </w:rPr>
        <w:t>公务用车购置及运行维护费支出 </w:t>
      </w:r>
      <w:r>
        <w:rPr>
          <w:rFonts w:ascii="Times New Roman" w:eastAsia="Times New Roman"/>
          <w:sz w:val="32"/>
        </w:rPr>
        <w:t>0</w:t>
      </w:r>
      <w:r>
        <w:rPr>
          <w:rFonts w:ascii="Times New Roman" w:eastAsia="Times New Roman"/>
          <w:spacing w:val="-6"/>
          <w:sz w:val="32"/>
        </w:rPr>
        <w:t> </w:t>
      </w:r>
      <w:r>
        <w:rPr>
          <w:spacing w:val="-4"/>
          <w:sz w:val="32"/>
        </w:rPr>
        <w:t>万元，完成预算 </w:t>
      </w:r>
      <w:r>
        <w:rPr>
          <w:rFonts w:ascii="Times New Roman" w:eastAsia="Times New Roman"/>
          <w:spacing w:val="2"/>
          <w:sz w:val="32"/>
        </w:rPr>
        <w:t>0%</w:t>
      </w:r>
      <w:r>
        <w:rPr>
          <w:spacing w:val="4"/>
          <w:sz w:val="32"/>
        </w:rPr>
        <w:t>。公务</w:t>
      </w:r>
      <w:r>
        <w:rPr>
          <w:spacing w:val="-1"/>
          <w:sz w:val="32"/>
        </w:rPr>
        <w:t>用车购置及运行维护费支出决算比 </w:t>
      </w:r>
      <w:r>
        <w:rPr>
          <w:rFonts w:ascii="Times New Roman" w:eastAsia="Times New Roman"/>
          <w:sz w:val="32"/>
        </w:rPr>
        <w:t>2018</w:t>
      </w:r>
      <w:r>
        <w:rPr>
          <w:rFonts w:ascii="Times New Roman" w:eastAsia="Times New Roman"/>
          <w:spacing w:val="-3"/>
          <w:sz w:val="32"/>
        </w:rPr>
        <w:t> </w:t>
      </w:r>
      <w:r>
        <w:rPr>
          <w:spacing w:val="-16"/>
          <w:sz w:val="32"/>
        </w:rPr>
        <w:t>年减少 </w:t>
      </w:r>
      <w:r>
        <w:rPr>
          <w:rFonts w:ascii="Times New Roman" w:eastAsia="Times New Roman"/>
          <w:sz w:val="32"/>
        </w:rPr>
        <w:t>2</w:t>
      </w:r>
      <w:r>
        <w:rPr>
          <w:rFonts w:ascii="Times New Roman" w:eastAsia="Times New Roman"/>
          <w:spacing w:val="-3"/>
          <w:sz w:val="32"/>
        </w:rPr>
        <w:t> </w:t>
      </w:r>
      <w:r>
        <w:rPr>
          <w:spacing w:val="-11"/>
          <w:sz w:val="32"/>
        </w:rPr>
        <w:t>万元，下降 </w:t>
      </w:r>
      <w:r>
        <w:rPr>
          <w:rFonts w:ascii="Times New Roman" w:eastAsia="Times New Roman"/>
          <w:sz w:val="32"/>
        </w:rPr>
        <w:t>100%</w:t>
      </w:r>
      <w:r>
        <w:rPr>
          <w:sz w:val="32"/>
        </w:rPr>
        <w:t>。主要原因公务用车减少。</w:t>
      </w:r>
    </w:p>
    <w:p>
      <w:pPr>
        <w:spacing w:line="513" w:lineRule="exact" w:before="0"/>
        <w:ind w:left="1240" w:right="0" w:firstLine="0"/>
        <w:jc w:val="both"/>
        <w:rPr>
          <w:sz w:val="32"/>
        </w:rPr>
      </w:pPr>
      <w:r>
        <w:rPr>
          <w:spacing w:val="-10"/>
          <w:sz w:val="32"/>
        </w:rPr>
        <w:t>其中：</w:t>
      </w:r>
      <w:r>
        <w:rPr>
          <w:b/>
          <w:spacing w:val="-8"/>
          <w:sz w:val="32"/>
        </w:rPr>
        <w:t>公务用车购置支出 </w:t>
      </w:r>
      <w:r>
        <w:rPr>
          <w:rFonts w:ascii="Times New Roman" w:eastAsia="Times New Roman"/>
          <w:sz w:val="32"/>
        </w:rPr>
        <w:t>0</w:t>
      </w:r>
      <w:r>
        <w:rPr>
          <w:rFonts w:ascii="Times New Roman" w:eastAsia="Times New Roman"/>
          <w:spacing w:val="-7"/>
          <w:sz w:val="32"/>
        </w:rPr>
        <w:t> </w:t>
      </w:r>
      <w:r>
        <w:rPr>
          <w:spacing w:val="-6"/>
          <w:sz w:val="32"/>
        </w:rPr>
        <w:t>万元。全年按规定更新购置公务用车</w:t>
      </w:r>
    </w:p>
    <w:p>
      <w:pPr>
        <w:pStyle w:val="BodyText"/>
        <w:spacing w:before="25"/>
        <w:ind w:left="600"/>
        <w:jc w:val="both"/>
      </w:pPr>
      <w:r>
        <w:rPr>
          <w:rFonts w:ascii="Times New Roman" w:eastAsia="Times New Roman"/>
        </w:rPr>
        <w:t>0 </w:t>
      </w:r>
      <w:r>
        <w:rPr>
          <w:spacing w:val="-12"/>
        </w:rPr>
        <w:t>辆，金额 </w:t>
      </w:r>
      <w:r>
        <w:rPr>
          <w:rFonts w:ascii="Times New Roman" w:eastAsia="Times New Roman"/>
        </w:rPr>
        <w:t>0 </w:t>
      </w:r>
      <w:r>
        <w:rPr>
          <w:spacing w:val="-10"/>
        </w:rPr>
        <w:t>万元。截至 </w:t>
      </w:r>
      <w:r>
        <w:rPr>
          <w:rFonts w:ascii="Times New Roman" w:eastAsia="Times New Roman"/>
        </w:rPr>
        <w:t>2019 </w:t>
      </w:r>
      <w:r>
        <w:rPr>
          <w:spacing w:val="-30"/>
        </w:rPr>
        <w:t>年 </w:t>
      </w:r>
      <w:r>
        <w:rPr>
          <w:rFonts w:ascii="Times New Roman" w:eastAsia="Times New Roman"/>
        </w:rPr>
        <w:t>12 </w:t>
      </w:r>
      <w:r>
        <w:rPr>
          <w:spacing w:val="-6"/>
        </w:rPr>
        <w:t>月底，单位共有公务用车 </w:t>
      </w:r>
      <w:r>
        <w:rPr>
          <w:rFonts w:ascii="Times New Roman" w:eastAsia="Times New Roman"/>
        </w:rPr>
        <w:t>0</w:t>
      </w:r>
      <w:r>
        <w:rPr>
          <w:rFonts w:ascii="Times New Roman" w:eastAsia="Times New Roman"/>
          <w:spacing w:val="2"/>
        </w:rPr>
        <w:t> </w:t>
      </w:r>
      <w:r>
        <w:rPr/>
        <w:t>辆，</w:t>
      </w:r>
    </w:p>
    <w:p>
      <w:pPr>
        <w:pStyle w:val="BodyText"/>
        <w:spacing w:before="25"/>
        <w:ind w:left="600"/>
        <w:jc w:val="both"/>
        <w:rPr>
          <w:rFonts w:ascii="仿宋" w:eastAsia="仿宋" w:hint="eastAsia"/>
        </w:rPr>
      </w:pPr>
      <w:r>
        <w:rPr/>
        <w:t>其中：</w:t>
      </w:r>
      <w:r>
        <w:rPr>
          <w:rFonts w:ascii="仿宋" w:eastAsia="仿宋" w:hint="eastAsia"/>
          <w:spacing w:val="-10"/>
        </w:rPr>
        <w:t>主要领导干部用车 </w:t>
      </w:r>
      <w:r>
        <w:rPr>
          <w:rFonts w:ascii="仿宋" w:eastAsia="仿宋" w:hint="eastAsia"/>
        </w:rPr>
        <w:t>0</w:t>
      </w:r>
      <w:r>
        <w:rPr>
          <w:rFonts w:ascii="仿宋" w:eastAsia="仿宋" w:hint="eastAsia"/>
          <w:spacing w:val="-19"/>
        </w:rPr>
        <w:t> 辆、机要通信用车 </w:t>
      </w:r>
      <w:r>
        <w:rPr>
          <w:rFonts w:ascii="仿宋" w:eastAsia="仿宋" w:hint="eastAsia"/>
        </w:rPr>
        <w:t>0</w:t>
      </w:r>
      <w:r>
        <w:rPr>
          <w:rFonts w:ascii="仿宋" w:eastAsia="仿宋" w:hint="eastAsia"/>
          <w:spacing w:val="-19"/>
        </w:rPr>
        <w:t> 辆、应急保障用车 </w:t>
      </w:r>
      <w:r>
        <w:rPr>
          <w:rFonts w:ascii="仿宋" w:eastAsia="仿宋" w:hint="eastAsia"/>
        </w:rPr>
        <w:t>0</w:t>
      </w:r>
    </w:p>
    <w:p>
      <w:pPr>
        <w:pStyle w:val="BodyText"/>
        <w:spacing w:before="65"/>
        <w:ind w:left="600"/>
        <w:jc w:val="both"/>
        <w:rPr>
          <w:rFonts w:ascii="仿宋" w:eastAsia="仿宋" w:hint="eastAsia"/>
        </w:rPr>
      </w:pPr>
      <w:r>
        <w:rPr>
          <w:rFonts w:ascii="仿宋" w:eastAsia="仿宋" w:hint="eastAsia"/>
        </w:rPr>
        <w:t>辆、 执法执勤用车 0 辆、其他用车 0 辆。</w:t>
      </w:r>
    </w:p>
    <w:p>
      <w:pPr>
        <w:spacing w:line="252" w:lineRule="auto" w:before="90"/>
        <w:ind w:left="600" w:right="1056" w:firstLine="640"/>
        <w:jc w:val="both"/>
        <w:rPr>
          <w:sz w:val="32"/>
        </w:rPr>
      </w:pPr>
      <w:r>
        <w:rPr>
          <w:b/>
          <w:spacing w:val="-6"/>
          <w:sz w:val="32"/>
        </w:rPr>
        <w:t>公务用车运行维护费支出 </w:t>
      </w:r>
      <w:r>
        <w:rPr>
          <w:rFonts w:ascii="Times New Roman" w:eastAsia="Times New Roman"/>
          <w:sz w:val="32"/>
        </w:rPr>
        <w:t>0 </w:t>
      </w:r>
      <w:r>
        <w:rPr>
          <w:spacing w:val="-8"/>
          <w:sz w:val="32"/>
        </w:rPr>
        <w:t>万元。主要用于公务用车燃料费、维修费、过路过桥费、保险费等支出。</w:t>
      </w:r>
    </w:p>
    <w:p>
      <w:pPr>
        <w:spacing w:after="0" w:line="252" w:lineRule="auto"/>
        <w:jc w:val="both"/>
        <w:rPr>
          <w:sz w:val="32"/>
        </w:rPr>
        <w:sectPr>
          <w:pgSz w:w="11910" w:h="16840"/>
          <w:pgMar w:header="0" w:footer="1350" w:top="1600" w:bottom="1540" w:left="660" w:right="40"/>
        </w:sectPr>
      </w:pPr>
    </w:p>
    <w:p>
      <w:pPr>
        <w:pStyle w:val="ListParagraph"/>
        <w:numPr>
          <w:ilvl w:val="0"/>
          <w:numId w:val="2"/>
        </w:numPr>
        <w:tabs>
          <w:tab w:pos="1486" w:val="left" w:leader="none"/>
        </w:tabs>
        <w:spacing w:line="252" w:lineRule="auto" w:before="52" w:after="0"/>
        <w:ind w:left="600" w:right="1056" w:firstLine="640"/>
        <w:jc w:val="both"/>
        <w:rPr>
          <w:sz w:val="32"/>
        </w:rPr>
      </w:pPr>
      <w:r>
        <w:rPr>
          <w:b/>
          <w:spacing w:val="-3"/>
          <w:sz w:val="32"/>
        </w:rPr>
        <w:t>公务接待费支出 </w:t>
      </w:r>
      <w:r>
        <w:rPr>
          <w:rFonts w:ascii="Times New Roman" w:eastAsia="Times New Roman"/>
          <w:sz w:val="32"/>
        </w:rPr>
        <w:t>0</w:t>
      </w:r>
      <w:r>
        <w:rPr>
          <w:rFonts w:ascii="Times New Roman" w:eastAsia="Times New Roman"/>
          <w:spacing w:val="-4"/>
          <w:sz w:val="32"/>
        </w:rPr>
        <w:t> </w:t>
      </w:r>
      <w:r>
        <w:rPr>
          <w:spacing w:val="-4"/>
          <w:sz w:val="32"/>
        </w:rPr>
        <w:t>万元，完成预算 </w:t>
      </w:r>
      <w:r>
        <w:rPr>
          <w:rFonts w:ascii="Times New Roman" w:eastAsia="Times New Roman"/>
          <w:spacing w:val="2"/>
          <w:sz w:val="32"/>
        </w:rPr>
        <w:t>0%</w:t>
      </w:r>
      <w:r>
        <w:rPr>
          <w:spacing w:val="5"/>
          <w:sz w:val="32"/>
        </w:rPr>
        <w:t>。公务接待费支出决算</w:t>
      </w:r>
      <w:r>
        <w:rPr>
          <w:spacing w:val="-29"/>
          <w:sz w:val="32"/>
        </w:rPr>
        <w:t>比 </w:t>
      </w:r>
      <w:r>
        <w:rPr>
          <w:rFonts w:ascii="Times New Roman" w:eastAsia="Times New Roman"/>
          <w:sz w:val="32"/>
        </w:rPr>
        <w:t>2018 </w:t>
      </w:r>
      <w:r>
        <w:rPr>
          <w:sz w:val="32"/>
        </w:rPr>
        <w:t>年增加</w:t>
      </w:r>
      <w:r>
        <w:rPr>
          <w:rFonts w:ascii="Times New Roman" w:eastAsia="Times New Roman"/>
          <w:spacing w:val="-3"/>
          <w:sz w:val="32"/>
        </w:rPr>
        <w:t>/</w:t>
      </w:r>
      <w:r>
        <w:rPr>
          <w:spacing w:val="-21"/>
          <w:sz w:val="32"/>
        </w:rPr>
        <w:t>减少 </w:t>
      </w:r>
      <w:r>
        <w:rPr>
          <w:rFonts w:ascii="Times New Roman" w:eastAsia="Times New Roman"/>
          <w:sz w:val="32"/>
        </w:rPr>
        <w:t>0 </w:t>
      </w:r>
      <w:r>
        <w:rPr>
          <w:sz w:val="32"/>
        </w:rPr>
        <w:t>万元，增长</w:t>
      </w:r>
      <w:r>
        <w:rPr>
          <w:rFonts w:ascii="Times New Roman" w:eastAsia="Times New Roman"/>
          <w:sz w:val="32"/>
        </w:rPr>
        <w:t>/</w:t>
      </w:r>
      <w:r>
        <w:rPr>
          <w:spacing w:val="-21"/>
          <w:sz w:val="32"/>
        </w:rPr>
        <w:t>下降 </w:t>
      </w:r>
      <w:r>
        <w:rPr>
          <w:rFonts w:ascii="Times New Roman" w:eastAsia="Times New Roman"/>
          <w:sz w:val="32"/>
        </w:rPr>
        <w:t>0%</w:t>
      </w:r>
      <w:r>
        <w:rPr>
          <w:sz w:val="32"/>
        </w:rPr>
        <w:t>。其中：</w:t>
      </w:r>
    </w:p>
    <w:p>
      <w:pPr>
        <w:pStyle w:val="BodyText"/>
        <w:spacing w:line="350" w:lineRule="auto" w:before="86"/>
        <w:ind w:left="600" w:right="1058" w:firstLine="640"/>
        <w:jc w:val="both"/>
        <w:rPr>
          <w:rFonts w:ascii="仿宋" w:eastAsia="仿宋" w:hint="eastAsia"/>
        </w:rPr>
      </w:pPr>
      <w:r>
        <w:rPr>
          <w:rFonts w:ascii="仿宋" w:eastAsia="仿宋" w:hint="eastAsia"/>
          <w:b/>
          <w:spacing w:val="-10"/>
        </w:rPr>
        <w:t>国内公务接待支出 </w:t>
      </w:r>
      <w:r>
        <w:rPr>
          <w:rFonts w:ascii="仿宋" w:eastAsia="仿宋" w:hint="eastAsia"/>
        </w:rPr>
        <w:t>0</w:t>
      </w:r>
      <w:r>
        <w:rPr>
          <w:rFonts w:ascii="仿宋" w:eastAsia="仿宋" w:hint="eastAsia"/>
          <w:spacing w:val="-13"/>
        </w:rPr>
        <w:t> 万元，主要用于执行公务、开展业务活动开</w:t>
      </w:r>
      <w:r>
        <w:rPr>
          <w:rFonts w:ascii="仿宋" w:eastAsia="仿宋" w:hint="eastAsia"/>
          <w:spacing w:val="-16"/>
        </w:rPr>
        <w:t>支的交通费、住宿费、用餐费等。国内公务接待 </w:t>
      </w:r>
      <w:r>
        <w:rPr>
          <w:rFonts w:ascii="仿宋" w:eastAsia="仿宋" w:hint="eastAsia"/>
        </w:rPr>
        <w:t>0</w:t>
      </w:r>
      <w:r>
        <w:rPr>
          <w:rFonts w:ascii="仿宋" w:eastAsia="仿宋" w:hint="eastAsia"/>
          <w:spacing w:val="-20"/>
        </w:rPr>
        <w:t> 批次，</w:t>
      </w:r>
      <w:r>
        <w:rPr>
          <w:rFonts w:ascii="仿宋" w:eastAsia="仿宋" w:hint="eastAsia"/>
        </w:rPr>
        <w:t>0</w:t>
      </w:r>
      <w:r>
        <w:rPr>
          <w:rFonts w:ascii="仿宋" w:eastAsia="仿宋" w:hint="eastAsia"/>
          <w:spacing w:val="-26"/>
        </w:rPr>
        <w:t> 人次</w:t>
      </w:r>
      <w:r>
        <w:rPr>
          <w:rFonts w:ascii="仿宋" w:eastAsia="仿宋" w:hint="eastAsia"/>
        </w:rPr>
        <w:t>（不包括陪同人员）</w:t>
      </w:r>
      <w:r>
        <w:rPr>
          <w:rFonts w:ascii="仿宋" w:eastAsia="仿宋" w:hint="eastAsia"/>
          <w:spacing w:val="-14"/>
        </w:rPr>
        <w:t>，共计支出 </w:t>
      </w:r>
      <w:r>
        <w:rPr>
          <w:rFonts w:ascii="仿宋" w:eastAsia="仿宋" w:hint="eastAsia"/>
        </w:rPr>
        <w:t>0</w:t>
      </w:r>
      <w:r>
        <w:rPr>
          <w:rFonts w:ascii="仿宋" w:eastAsia="仿宋" w:hint="eastAsia"/>
          <w:spacing w:val="-21"/>
        </w:rPr>
        <w:t> 万元。</w:t>
      </w:r>
    </w:p>
    <w:p>
      <w:pPr>
        <w:pStyle w:val="BodyText"/>
        <w:spacing w:before="5"/>
        <w:ind w:left="1240"/>
        <w:jc w:val="both"/>
        <w:rPr>
          <w:rFonts w:ascii="仿宋" w:eastAsia="仿宋" w:hint="eastAsia"/>
        </w:rPr>
      </w:pPr>
      <w:r>
        <w:rPr>
          <w:rFonts w:ascii="仿宋" w:eastAsia="仿宋" w:hint="eastAsia"/>
          <w:b/>
        </w:rPr>
        <w:t>外事接待支出 </w:t>
      </w:r>
      <w:r>
        <w:rPr>
          <w:rFonts w:ascii="仿宋" w:eastAsia="仿宋" w:hint="eastAsia"/>
        </w:rPr>
        <w:t>0 万元，外事接待 0 批次，0 人，共计支出 0 万元。</w:t>
      </w:r>
    </w:p>
    <w:p>
      <w:pPr>
        <w:pStyle w:val="BodyText"/>
        <w:spacing w:before="102"/>
        <w:ind w:left="1240"/>
        <w:rPr>
          <w:rFonts w:ascii="方正黑体_GBK" w:eastAsia="方正黑体_GBK" w:hint="eastAsia"/>
        </w:rPr>
      </w:pPr>
      <w:bookmarkStart w:name="八、政府性基金预算支出决算情况说明" w:id="31"/>
      <w:bookmarkEnd w:id="31"/>
      <w:r>
        <w:rPr/>
      </w:r>
      <w:bookmarkStart w:name="_bookmark11" w:id="32"/>
      <w:bookmarkEnd w:id="32"/>
      <w:r>
        <w:rPr/>
      </w:r>
      <w:r>
        <w:rPr>
          <w:rFonts w:ascii="方正黑体_GBK" w:eastAsia="方正黑体_GBK" w:hint="eastAsia"/>
        </w:rPr>
        <w:t>八、政府性基金预算支出决算情况说明</w:t>
      </w:r>
    </w:p>
    <w:p>
      <w:pPr>
        <w:pStyle w:val="BodyText"/>
        <w:spacing w:before="35"/>
        <w:ind w:left="1240"/>
      </w:pPr>
      <w:r>
        <w:rPr/>
        <w:t>单位 </w:t>
      </w:r>
      <w:r>
        <w:rPr>
          <w:rFonts w:ascii="Times New Roman" w:eastAsia="Times New Roman"/>
        </w:rPr>
        <w:t>2019 </w:t>
      </w:r>
      <w:r>
        <w:rPr/>
        <w:t>年未使用政府性基金预算拨款安排支出。</w:t>
      </w:r>
    </w:p>
    <w:p>
      <w:pPr>
        <w:pStyle w:val="BodyText"/>
        <w:spacing w:before="25"/>
        <w:ind w:left="1240"/>
        <w:rPr>
          <w:rFonts w:ascii="方正黑体_GBK" w:eastAsia="方正黑体_GBK" w:hint="eastAsia"/>
        </w:rPr>
      </w:pPr>
      <w:bookmarkStart w:name="九、国有资本经营预算支出决算情况说明" w:id="33"/>
      <w:bookmarkEnd w:id="33"/>
      <w:r>
        <w:rPr/>
      </w:r>
      <w:bookmarkStart w:name="_bookmark12" w:id="34"/>
      <w:bookmarkEnd w:id="34"/>
      <w:r>
        <w:rPr/>
      </w:r>
      <w:r>
        <w:rPr>
          <w:rFonts w:ascii="方正黑体_GBK" w:eastAsia="方正黑体_GBK" w:hint="eastAsia"/>
        </w:rPr>
        <w:t>九、国有资本经营预算支出决算情况说明</w:t>
      </w:r>
    </w:p>
    <w:p>
      <w:pPr>
        <w:pStyle w:val="BodyText"/>
        <w:spacing w:before="35"/>
        <w:ind w:left="1240"/>
      </w:pPr>
      <w:r>
        <w:rPr/>
        <w:t>单位 </w:t>
      </w:r>
      <w:r>
        <w:rPr>
          <w:rFonts w:ascii="Times New Roman" w:eastAsia="Times New Roman"/>
        </w:rPr>
        <w:t>2019 </w:t>
      </w:r>
      <w:r>
        <w:rPr/>
        <w:t>年未使用国有资本经营预算安排支出。</w:t>
      </w:r>
    </w:p>
    <w:p>
      <w:pPr>
        <w:pStyle w:val="BodyText"/>
        <w:spacing w:line="491" w:lineRule="exact" w:before="25"/>
        <w:ind w:left="1240"/>
        <w:rPr>
          <w:rFonts w:ascii="方正黑体_GBK" w:eastAsia="方正黑体_GBK" w:hint="eastAsia"/>
        </w:rPr>
      </w:pPr>
      <w:bookmarkStart w:name="十、预算绩效管理情况说明" w:id="35"/>
      <w:bookmarkEnd w:id="35"/>
      <w:r>
        <w:rPr/>
      </w:r>
      <w:bookmarkStart w:name="_bookmark13" w:id="36"/>
      <w:bookmarkEnd w:id="36"/>
      <w:r>
        <w:rPr/>
      </w:r>
      <w:r>
        <w:rPr>
          <w:rFonts w:ascii="方正黑体_GBK" w:eastAsia="方正黑体_GBK" w:hint="eastAsia"/>
        </w:rPr>
        <w:t>十、预算绩效管理情况说明</w:t>
      </w:r>
    </w:p>
    <w:p>
      <w:pPr>
        <w:pStyle w:val="BodyText"/>
        <w:spacing w:line="576" w:lineRule="exact"/>
        <w:ind w:left="1080"/>
        <w:rPr>
          <w:rFonts w:ascii="微软雅黑" w:eastAsia="微软雅黑" w:hint="eastAsia"/>
        </w:rPr>
      </w:pPr>
      <w:bookmarkStart w:name="（一）预算绩效管理工作开展情况" w:id="37"/>
      <w:bookmarkEnd w:id="37"/>
      <w:r>
        <w:rPr/>
      </w:r>
      <w:r>
        <w:rPr>
          <w:rFonts w:ascii="微软雅黑" w:eastAsia="微软雅黑" w:hint="eastAsia"/>
        </w:rPr>
        <w:t>（一）预算绩效管理工作开展情况</w:t>
      </w:r>
    </w:p>
    <w:p>
      <w:pPr>
        <w:pStyle w:val="BodyText"/>
        <w:spacing w:line="252" w:lineRule="auto" w:before="12"/>
        <w:ind w:left="600" w:right="1058" w:firstLine="640"/>
        <w:jc w:val="both"/>
      </w:pPr>
      <w:r>
        <w:rPr>
          <w:spacing w:val="-20"/>
          <w:w w:val="95"/>
        </w:rPr>
        <w:t>根据预算绩效管理要求，本单位在年初预算编制阶段，组织对“运  </w:t>
      </w:r>
      <w:r>
        <w:rPr>
          <w:spacing w:val="-14"/>
        </w:rPr>
        <w:t>转补助”专项项目开展了预算事前绩效评估，对 </w:t>
      </w:r>
      <w:r>
        <w:rPr>
          <w:rFonts w:ascii="Times New Roman" w:hAnsi="Times New Roman" w:eastAsia="Times New Roman"/>
        </w:rPr>
        <w:t>1 </w:t>
      </w:r>
      <w:r>
        <w:rPr/>
        <w:t>个专项项目编制了</w:t>
      </w:r>
    </w:p>
    <w:p>
      <w:pPr>
        <w:pStyle w:val="BodyText"/>
        <w:spacing w:line="252" w:lineRule="auto"/>
        <w:ind w:left="600" w:right="1061"/>
        <w:jc w:val="both"/>
      </w:pPr>
      <w:r>
        <w:rPr>
          <w:spacing w:val="-9"/>
        </w:rPr>
        <w:t>绩效目标；预算执行过程中，选取 </w:t>
      </w:r>
      <w:r>
        <w:rPr>
          <w:rFonts w:ascii="Times New Roman" w:eastAsia="Times New Roman"/>
        </w:rPr>
        <w:t>1 </w:t>
      </w:r>
      <w:r>
        <w:rPr>
          <w:spacing w:val="-2"/>
        </w:rPr>
        <w:t>个专项项目开展绩效监控；年终</w:t>
      </w:r>
      <w:r>
        <w:rPr>
          <w:spacing w:val="-8"/>
          <w:w w:val="95"/>
        </w:rPr>
        <w:t>执行完毕后，开展了四川省成都市青苏职业中专学校部门整体支出绩  </w:t>
      </w:r>
      <w:r>
        <w:rPr>
          <w:spacing w:val="-17"/>
        </w:rPr>
        <w:t>效自评，对 </w:t>
      </w:r>
      <w:r>
        <w:rPr>
          <w:rFonts w:ascii="Times New Roman" w:eastAsia="Times New Roman"/>
        </w:rPr>
        <w:t>1 </w:t>
      </w:r>
      <w:r>
        <w:rPr/>
        <w:t>个专项项目开展了绩效自评。</w:t>
      </w:r>
    </w:p>
    <w:p>
      <w:pPr>
        <w:pStyle w:val="BodyText"/>
        <w:spacing w:line="525" w:lineRule="exact"/>
        <w:ind w:left="1080"/>
        <w:rPr>
          <w:rFonts w:ascii="微软雅黑" w:eastAsia="微软雅黑" w:hint="eastAsia"/>
        </w:rPr>
      </w:pPr>
      <w:bookmarkStart w:name="（二）绩效自评结果" w:id="38"/>
      <w:bookmarkEnd w:id="38"/>
      <w:r>
        <w:rPr/>
      </w:r>
      <w:r>
        <w:rPr>
          <w:rFonts w:ascii="微软雅黑" w:eastAsia="微软雅黑" w:hint="eastAsia"/>
        </w:rPr>
        <w:t>（二）绩效自评结果</w:t>
      </w:r>
    </w:p>
    <w:p>
      <w:pPr>
        <w:pStyle w:val="ListParagraph"/>
        <w:numPr>
          <w:ilvl w:val="0"/>
          <w:numId w:val="3"/>
        </w:numPr>
        <w:tabs>
          <w:tab w:pos="1483" w:val="left" w:leader="none"/>
        </w:tabs>
        <w:spacing w:line="240" w:lineRule="auto" w:before="11" w:after="0"/>
        <w:ind w:left="1482" w:right="0" w:hanging="243"/>
        <w:jc w:val="left"/>
        <w:rPr>
          <w:sz w:val="32"/>
        </w:rPr>
      </w:pPr>
      <w:bookmarkStart w:name="1.专项项目绩效自评情况" w:id="39"/>
      <w:bookmarkEnd w:id="39"/>
      <w:r>
        <w:rPr/>
      </w:r>
      <w:bookmarkStart w:name="1.专项项目绩效自评情况" w:id="40"/>
      <w:bookmarkEnd w:id="40"/>
      <w:r>
        <w:rPr>
          <w:sz w:val="32"/>
        </w:rPr>
        <w:t>专项项目绩效自评情况</w:t>
      </w:r>
    </w:p>
    <w:p>
      <w:pPr>
        <w:pStyle w:val="BodyText"/>
        <w:spacing w:line="252" w:lineRule="auto" w:before="25"/>
        <w:ind w:left="600" w:right="1058" w:firstLine="640"/>
        <w:jc w:val="both"/>
      </w:pPr>
      <w:r>
        <w:rPr>
          <w:spacing w:val="-14"/>
        </w:rPr>
        <w:t>本单位在 </w:t>
      </w:r>
      <w:r>
        <w:rPr>
          <w:rFonts w:ascii="Times New Roman" w:hAnsi="Times New Roman" w:eastAsia="Times New Roman"/>
        </w:rPr>
        <w:t>2019 </w:t>
      </w:r>
      <w:r>
        <w:rPr>
          <w:spacing w:val="-10"/>
        </w:rPr>
        <w:t>年度部门决算中反映“运转补助”</w:t>
      </w:r>
      <w:r>
        <w:rPr>
          <w:rFonts w:ascii="Times New Roman" w:hAnsi="Times New Roman" w:eastAsia="Times New Roman"/>
          <w:spacing w:val="-33"/>
        </w:rPr>
        <w:t>1 </w:t>
      </w:r>
      <w:r>
        <w:rPr/>
        <w:t>个专项项目绩效自评情况。</w:t>
      </w:r>
    </w:p>
    <w:p>
      <w:pPr>
        <w:pStyle w:val="BodyText"/>
        <w:spacing w:line="252" w:lineRule="auto"/>
        <w:ind w:left="600" w:right="1058" w:firstLine="480"/>
        <w:jc w:val="both"/>
      </w:pPr>
      <w:r>
        <w:rPr>
          <w:spacing w:val="11"/>
        </w:rPr>
        <w:t>（</w:t>
      </w:r>
      <w:r>
        <w:rPr>
          <w:rFonts w:ascii="Times New Roman" w:hAnsi="Times New Roman" w:eastAsia="Times New Roman"/>
          <w:spacing w:val="11"/>
        </w:rPr>
        <w:t>1</w:t>
      </w:r>
      <w:r>
        <w:rPr>
          <w:spacing w:val="11"/>
        </w:rPr>
        <w:t>）</w:t>
      </w:r>
      <w:r>
        <w:rPr>
          <w:spacing w:val="4"/>
        </w:rPr>
        <w:t>“运转补助”项目完成情况综述。项目全年预算数 </w:t>
      </w:r>
      <w:r>
        <w:rPr>
          <w:rFonts w:ascii="Times New Roman" w:hAnsi="Times New Roman" w:eastAsia="Times New Roman"/>
        </w:rPr>
        <w:t>126.72 </w:t>
      </w:r>
      <w:r>
        <w:rPr>
          <w:spacing w:val="-9"/>
        </w:rPr>
        <w:t>万元，执行数为 </w:t>
      </w:r>
      <w:r>
        <w:rPr>
          <w:rFonts w:ascii="Times New Roman" w:hAnsi="Times New Roman" w:eastAsia="Times New Roman"/>
        </w:rPr>
        <w:t>126.72 </w:t>
      </w:r>
      <w:r>
        <w:rPr>
          <w:spacing w:val="-8"/>
        </w:rPr>
        <w:t>万元，完成预算的 </w:t>
      </w:r>
      <w:r>
        <w:rPr>
          <w:rFonts w:ascii="Times New Roman" w:hAnsi="Times New Roman" w:eastAsia="Times New Roman"/>
        </w:rPr>
        <w:t>100%</w:t>
      </w:r>
      <w:r>
        <w:rPr/>
        <w:t>。通过项目实施，健</w:t>
      </w:r>
      <w:r>
        <w:rPr>
          <w:spacing w:val="-4"/>
          <w:w w:val="95"/>
        </w:rPr>
        <w:t>全学校教育经费保障机制，促进教育均衡发展，切实提高学校运转经</w:t>
      </w:r>
    </w:p>
    <w:p>
      <w:pPr>
        <w:spacing w:after="0" w:line="252" w:lineRule="auto"/>
        <w:jc w:val="both"/>
        <w:sectPr>
          <w:pgSz w:w="11910" w:h="16840"/>
          <w:pgMar w:header="0" w:footer="1350" w:top="1600" w:bottom="1540" w:left="660" w:right="40"/>
        </w:sectPr>
      </w:pPr>
    </w:p>
    <w:p>
      <w:pPr>
        <w:pStyle w:val="BodyText"/>
        <w:spacing w:line="252" w:lineRule="auto" w:before="52"/>
        <w:ind w:left="1080" w:right="2290" w:hanging="480"/>
      </w:pPr>
      <w:bookmarkStart w:name="第三部分 名词解释" w:id="41"/>
      <w:bookmarkEnd w:id="41"/>
      <w:r>
        <w:rPr/>
      </w:r>
      <w:r>
        <w:rPr/>
        <w:t>费保障水平，发现的主要问题：无。下一步改进措施：无。“运转补助”专项项目绩效自评表（附件 </w:t>
      </w:r>
      <w:r>
        <w:rPr>
          <w:rFonts w:ascii="Times New Roman" w:hAnsi="Times New Roman" w:eastAsia="Times New Roman"/>
        </w:rPr>
        <w:t>1-1</w:t>
      </w:r>
      <w:r>
        <w:rPr/>
        <w:t>）</w:t>
      </w:r>
    </w:p>
    <w:p>
      <w:pPr>
        <w:pStyle w:val="ListParagraph"/>
        <w:numPr>
          <w:ilvl w:val="0"/>
          <w:numId w:val="3"/>
        </w:numPr>
        <w:tabs>
          <w:tab w:pos="1483" w:val="left" w:leader="none"/>
        </w:tabs>
        <w:spacing w:line="513" w:lineRule="exact" w:before="0" w:after="0"/>
        <w:ind w:left="1482" w:right="0" w:hanging="243"/>
        <w:jc w:val="left"/>
        <w:rPr>
          <w:sz w:val="32"/>
        </w:rPr>
      </w:pPr>
      <w:bookmarkStart w:name="2.部门整体绩效自评情况" w:id="42"/>
      <w:bookmarkEnd w:id="42"/>
      <w:r>
        <w:rPr/>
      </w:r>
      <w:bookmarkStart w:name="2.部门整体绩效自评情况" w:id="43"/>
      <w:bookmarkEnd w:id="43"/>
      <w:r>
        <w:rPr>
          <w:sz w:val="32"/>
        </w:rPr>
        <w:t>部门整体绩效自评情况</w:t>
      </w:r>
    </w:p>
    <w:p>
      <w:pPr>
        <w:pStyle w:val="BodyText"/>
        <w:spacing w:before="25"/>
        <w:ind w:left="1240"/>
      </w:pPr>
      <w:r>
        <w:rPr/>
        <w:t>四川省成都市青苏职业中专学校按要求对 </w:t>
      </w:r>
      <w:r>
        <w:rPr>
          <w:rFonts w:ascii="Times New Roman" w:eastAsia="Times New Roman"/>
        </w:rPr>
        <w:t>2019 </w:t>
      </w:r>
      <w:r>
        <w:rPr/>
        <w:t>年部门整体支出</w:t>
      </w:r>
    </w:p>
    <w:p>
      <w:pPr>
        <w:pStyle w:val="BodyText"/>
        <w:spacing w:line="252" w:lineRule="auto" w:before="25"/>
        <w:ind w:left="600" w:right="1058"/>
      </w:pPr>
      <w:r>
        <w:rPr/>
        <w:t>绩效评价情况开展自评，《四川省成都市青苏职业中专学校 </w:t>
      </w:r>
      <w:r>
        <w:rPr>
          <w:rFonts w:ascii="Times New Roman" w:eastAsia="Times New Roman"/>
        </w:rPr>
        <w:t>2019 </w:t>
      </w:r>
      <w:r>
        <w:rPr/>
        <w:t>年部门整体支出绩效评价报告》见附件（附件 </w:t>
      </w:r>
      <w:r>
        <w:rPr>
          <w:rFonts w:ascii="Times New Roman" w:eastAsia="Times New Roman"/>
        </w:rPr>
        <w:t>1-2</w:t>
      </w:r>
      <w:r>
        <w:rPr/>
        <w:t>）。</w:t>
      </w:r>
    </w:p>
    <w:p>
      <w:pPr>
        <w:pStyle w:val="BodyText"/>
        <w:spacing w:line="393" w:lineRule="exact"/>
        <w:ind w:left="1240"/>
        <w:rPr>
          <w:rFonts w:ascii="方正黑体_GBK" w:eastAsia="方正黑体_GBK" w:hint="eastAsia"/>
        </w:rPr>
      </w:pPr>
      <w:bookmarkStart w:name="十一、其他重要事项的情况说明" w:id="44"/>
      <w:bookmarkEnd w:id="44"/>
      <w:r>
        <w:rPr/>
      </w:r>
      <w:bookmarkStart w:name="_bookmark14" w:id="45"/>
      <w:bookmarkEnd w:id="45"/>
      <w:r>
        <w:rPr/>
      </w:r>
      <w:r>
        <w:rPr>
          <w:rFonts w:ascii="方正黑体_GBK" w:eastAsia="方正黑体_GBK" w:hint="eastAsia"/>
        </w:rPr>
        <w:t>十一</w:t>
      </w:r>
      <w:r>
        <w:rPr>
          <w:rFonts w:ascii="方正黑体_GBK" w:eastAsia="方正黑体_GBK" w:hint="eastAsia"/>
          <w:b/>
        </w:rPr>
        <w:t>、</w:t>
      </w:r>
      <w:r>
        <w:rPr>
          <w:rFonts w:ascii="方正黑体_GBK" w:eastAsia="方正黑体_GBK" w:hint="eastAsia"/>
        </w:rPr>
        <w:t>其他重要事项的情况说明</w:t>
      </w:r>
    </w:p>
    <w:p>
      <w:pPr>
        <w:pStyle w:val="BodyText"/>
        <w:spacing w:line="548" w:lineRule="exact"/>
        <w:ind w:left="1080"/>
        <w:rPr>
          <w:rFonts w:ascii="微软雅黑" w:eastAsia="微软雅黑" w:hint="eastAsia"/>
        </w:rPr>
      </w:pPr>
      <w:bookmarkStart w:name="（一）机关运行经费支出情况" w:id="46"/>
      <w:bookmarkEnd w:id="46"/>
      <w:r>
        <w:rPr/>
      </w:r>
      <w:r>
        <w:rPr>
          <w:rFonts w:ascii="微软雅黑" w:eastAsia="微软雅黑" w:hint="eastAsia"/>
        </w:rPr>
        <w:t>（一）机关运行经费支出情况</w:t>
      </w:r>
    </w:p>
    <w:p>
      <w:pPr>
        <w:pStyle w:val="BodyText"/>
        <w:spacing w:line="470" w:lineRule="exact"/>
        <w:ind w:left="1240"/>
      </w:pPr>
      <w:r>
        <w:rPr/>
        <w:t>本单位为事业单位，无机关运行经费支出。</w:t>
      </w:r>
    </w:p>
    <w:p>
      <w:pPr>
        <w:pStyle w:val="BodyText"/>
        <w:spacing w:line="568" w:lineRule="exact"/>
        <w:ind w:left="1080"/>
        <w:rPr>
          <w:rFonts w:ascii="微软雅黑" w:eastAsia="微软雅黑" w:hint="eastAsia"/>
        </w:rPr>
      </w:pPr>
      <w:bookmarkStart w:name="（二）政府采购支出情况" w:id="47"/>
      <w:bookmarkEnd w:id="47"/>
      <w:r>
        <w:rPr/>
      </w:r>
      <w:r>
        <w:rPr>
          <w:rFonts w:ascii="微软雅黑" w:eastAsia="微软雅黑" w:hint="eastAsia"/>
        </w:rPr>
        <w:t>（二）政府采购支出情况</w:t>
      </w:r>
    </w:p>
    <w:p>
      <w:pPr>
        <w:pStyle w:val="BodyText"/>
        <w:spacing w:before="53"/>
        <w:ind w:left="1240"/>
        <w:jc w:val="both"/>
      </w:pPr>
      <w:r>
        <w:rPr>
          <w:rFonts w:ascii="Times New Roman" w:eastAsia="Times New Roman"/>
        </w:rPr>
        <w:t>2019 </w:t>
      </w:r>
      <w:r>
        <w:rPr/>
        <w:t>年，四川省成都市青苏职业中专学校政府采购支出总额</w:t>
      </w:r>
    </w:p>
    <w:p>
      <w:pPr>
        <w:pStyle w:val="ListParagraph"/>
        <w:numPr>
          <w:ilvl w:val="1"/>
          <w:numId w:val="4"/>
        </w:numPr>
        <w:tabs>
          <w:tab w:pos="1560" w:val="left" w:leader="none"/>
        </w:tabs>
        <w:spacing w:line="252" w:lineRule="auto" w:before="25" w:after="0"/>
        <w:ind w:left="600" w:right="1058" w:firstLine="0"/>
        <w:jc w:val="both"/>
        <w:rPr>
          <w:sz w:val="32"/>
        </w:rPr>
      </w:pPr>
      <w:r>
        <w:rPr>
          <w:spacing w:val="-6"/>
          <w:sz w:val="32"/>
        </w:rPr>
        <w:t>万元，与上年相比增加 </w:t>
      </w:r>
      <w:r>
        <w:rPr>
          <w:rFonts w:ascii="Times New Roman" w:eastAsia="Times New Roman"/>
          <w:sz w:val="32"/>
        </w:rPr>
        <w:t>438.53</w:t>
      </w:r>
      <w:r>
        <w:rPr>
          <w:rFonts w:ascii="Times New Roman" w:eastAsia="Times New Roman"/>
          <w:spacing w:val="3"/>
          <w:sz w:val="32"/>
        </w:rPr>
        <w:t> </w:t>
      </w:r>
      <w:r>
        <w:rPr>
          <w:spacing w:val="-6"/>
          <w:sz w:val="32"/>
        </w:rPr>
        <w:t>万元，主要变动原因为 </w:t>
      </w:r>
      <w:r>
        <w:rPr>
          <w:rFonts w:ascii="Times New Roman" w:eastAsia="Times New Roman"/>
          <w:sz w:val="32"/>
        </w:rPr>
        <w:t>2019</w:t>
      </w:r>
      <w:r>
        <w:rPr>
          <w:rFonts w:ascii="Times New Roman" w:eastAsia="Times New Roman"/>
          <w:spacing w:val="3"/>
          <w:sz w:val="32"/>
        </w:rPr>
        <w:t> </w:t>
      </w:r>
      <w:r>
        <w:rPr>
          <w:sz w:val="32"/>
        </w:rPr>
        <w:t>年</w:t>
      </w:r>
      <w:r>
        <w:rPr>
          <w:spacing w:val="-3"/>
          <w:sz w:val="32"/>
        </w:rPr>
        <w:t>增加政府采购货物支出。其中：政府采购货物支出 </w:t>
      </w:r>
      <w:r>
        <w:rPr>
          <w:rFonts w:ascii="Times New Roman" w:eastAsia="Times New Roman"/>
          <w:sz w:val="32"/>
        </w:rPr>
        <w:t>53.21</w:t>
      </w:r>
      <w:r>
        <w:rPr>
          <w:rFonts w:ascii="Times New Roman" w:eastAsia="Times New Roman"/>
          <w:spacing w:val="4"/>
          <w:sz w:val="32"/>
        </w:rPr>
        <w:t> </w:t>
      </w:r>
      <w:r>
        <w:rPr>
          <w:sz w:val="32"/>
        </w:rPr>
        <w:t>万元、政府</w:t>
      </w:r>
      <w:r>
        <w:rPr>
          <w:spacing w:val="-10"/>
          <w:sz w:val="32"/>
        </w:rPr>
        <w:t>采购工程支出 </w:t>
      </w:r>
      <w:r>
        <w:rPr>
          <w:rFonts w:ascii="Times New Roman" w:eastAsia="Times New Roman"/>
          <w:sz w:val="32"/>
        </w:rPr>
        <w:t>0</w:t>
      </w:r>
      <w:r>
        <w:rPr>
          <w:rFonts w:ascii="Times New Roman" w:eastAsia="Times New Roman"/>
          <w:spacing w:val="-3"/>
          <w:sz w:val="32"/>
        </w:rPr>
        <w:t> </w:t>
      </w:r>
      <w:r>
        <w:rPr>
          <w:spacing w:val="-14"/>
          <w:sz w:val="32"/>
        </w:rPr>
        <w:t>万元、政府采购服务支出 </w:t>
      </w:r>
      <w:r>
        <w:rPr>
          <w:rFonts w:ascii="Times New Roman" w:eastAsia="Times New Roman"/>
          <w:sz w:val="32"/>
        </w:rPr>
        <w:t>436.87</w:t>
      </w:r>
      <w:r>
        <w:rPr>
          <w:rFonts w:ascii="Times New Roman" w:eastAsia="Times New Roman"/>
          <w:spacing w:val="-3"/>
          <w:sz w:val="32"/>
        </w:rPr>
        <w:t> </w:t>
      </w:r>
      <w:r>
        <w:rPr>
          <w:spacing w:val="-9"/>
          <w:sz w:val="32"/>
        </w:rPr>
        <w:t>万元。授予中小企业</w:t>
      </w:r>
      <w:r>
        <w:rPr>
          <w:spacing w:val="-21"/>
          <w:sz w:val="32"/>
        </w:rPr>
        <w:t>合同金额 </w:t>
      </w:r>
      <w:r>
        <w:rPr>
          <w:rFonts w:ascii="Times New Roman" w:eastAsia="Times New Roman"/>
          <w:sz w:val="32"/>
        </w:rPr>
        <w:t>490.08</w:t>
      </w:r>
      <w:r>
        <w:rPr>
          <w:rFonts w:ascii="Times New Roman" w:eastAsia="Times New Roman"/>
          <w:spacing w:val="-4"/>
          <w:sz w:val="32"/>
        </w:rPr>
        <w:t> </w:t>
      </w:r>
      <w:r>
        <w:rPr>
          <w:spacing w:val="-5"/>
          <w:sz w:val="32"/>
        </w:rPr>
        <w:t>万元，占政府采购支出总额的 </w:t>
      </w:r>
      <w:r>
        <w:rPr>
          <w:rFonts w:ascii="Times New Roman" w:eastAsia="Times New Roman"/>
          <w:sz w:val="32"/>
        </w:rPr>
        <w:t>100%</w:t>
      </w:r>
      <w:r>
        <w:rPr>
          <w:sz w:val="32"/>
        </w:rPr>
        <w:t>，其中：授予小</w:t>
      </w:r>
      <w:r>
        <w:rPr>
          <w:spacing w:val="-8"/>
          <w:sz w:val="32"/>
        </w:rPr>
        <w:t>微企业合同金额 </w:t>
      </w:r>
      <w:r>
        <w:rPr>
          <w:rFonts w:ascii="Times New Roman" w:eastAsia="Times New Roman"/>
          <w:sz w:val="32"/>
        </w:rPr>
        <w:t>139.63</w:t>
      </w:r>
      <w:r>
        <w:rPr>
          <w:rFonts w:ascii="Times New Roman" w:eastAsia="Times New Roman"/>
          <w:spacing w:val="-1"/>
          <w:sz w:val="32"/>
        </w:rPr>
        <w:t> </w:t>
      </w:r>
      <w:r>
        <w:rPr>
          <w:spacing w:val="-5"/>
          <w:sz w:val="32"/>
        </w:rPr>
        <w:t>万元，占政府采购支出总额的 </w:t>
      </w:r>
      <w:r>
        <w:rPr>
          <w:rFonts w:ascii="Times New Roman" w:eastAsia="Times New Roman"/>
          <w:sz w:val="32"/>
        </w:rPr>
        <w:t>28.49%</w:t>
      </w:r>
      <w:r>
        <w:rPr>
          <w:sz w:val="32"/>
        </w:rPr>
        <w:t>。</w:t>
      </w:r>
    </w:p>
    <w:p>
      <w:pPr>
        <w:pStyle w:val="BodyText"/>
        <w:spacing w:line="493" w:lineRule="exact"/>
        <w:ind w:left="1080"/>
        <w:rPr>
          <w:rFonts w:ascii="微软雅黑" w:eastAsia="微软雅黑" w:hint="eastAsia"/>
        </w:rPr>
      </w:pPr>
      <w:bookmarkStart w:name="（三）国有资产占有使用情况" w:id="48"/>
      <w:bookmarkEnd w:id="48"/>
      <w:r>
        <w:rPr/>
      </w:r>
      <w:r>
        <w:rPr>
          <w:rFonts w:ascii="微软雅黑" w:eastAsia="微软雅黑" w:hint="eastAsia"/>
        </w:rPr>
        <w:t>（三）国有资产占有使用情况</w:t>
      </w:r>
    </w:p>
    <w:p>
      <w:pPr>
        <w:pStyle w:val="BodyText"/>
        <w:spacing w:before="54"/>
        <w:ind w:right="1058"/>
        <w:jc w:val="right"/>
      </w:pPr>
      <w:r>
        <w:rPr>
          <w:spacing w:val="-20"/>
        </w:rPr>
        <w:t>截至 </w:t>
      </w:r>
      <w:r>
        <w:rPr>
          <w:rFonts w:ascii="Times New Roman" w:eastAsia="Times New Roman"/>
        </w:rPr>
        <w:t>2019</w:t>
      </w:r>
      <w:r>
        <w:rPr>
          <w:rFonts w:ascii="Times New Roman" w:eastAsia="Times New Roman"/>
          <w:spacing w:val="1"/>
        </w:rPr>
        <w:t> </w:t>
      </w:r>
      <w:r>
        <w:rPr>
          <w:spacing w:val="-31"/>
        </w:rPr>
        <w:t>年 </w:t>
      </w:r>
      <w:r>
        <w:rPr>
          <w:rFonts w:ascii="Times New Roman" w:eastAsia="Times New Roman"/>
        </w:rPr>
        <w:t>12</w:t>
      </w:r>
      <w:r>
        <w:rPr>
          <w:rFonts w:ascii="Times New Roman" w:eastAsia="Times New Roman"/>
          <w:spacing w:val="-1"/>
        </w:rPr>
        <w:t> </w:t>
      </w:r>
      <w:r>
        <w:rPr>
          <w:spacing w:val="-30"/>
        </w:rPr>
        <w:t>月 </w:t>
      </w:r>
      <w:r>
        <w:rPr>
          <w:rFonts w:ascii="Times New Roman" w:eastAsia="Times New Roman"/>
        </w:rPr>
        <w:t>31</w:t>
      </w:r>
      <w:r>
        <w:rPr>
          <w:rFonts w:ascii="Times New Roman" w:eastAsia="Times New Roman"/>
          <w:spacing w:val="1"/>
        </w:rPr>
        <w:t> </w:t>
      </w:r>
      <w:r>
        <w:rPr>
          <w:spacing w:val="4"/>
        </w:rPr>
        <w:t>日，四川省成都市青苏职业中专学校共有</w:t>
      </w:r>
    </w:p>
    <w:p>
      <w:pPr>
        <w:pStyle w:val="BodyText"/>
        <w:spacing w:before="25"/>
        <w:ind w:right="1058"/>
        <w:jc w:val="right"/>
      </w:pPr>
      <w:r>
        <w:rPr>
          <w:spacing w:val="-22"/>
        </w:rPr>
        <w:t>车辆 </w:t>
      </w:r>
      <w:r>
        <w:rPr>
          <w:rFonts w:ascii="Times New Roman" w:eastAsia="Times New Roman"/>
        </w:rPr>
        <w:t>0</w:t>
      </w:r>
      <w:r>
        <w:rPr>
          <w:rFonts w:ascii="Times New Roman" w:eastAsia="Times New Roman"/>
          <w:spacing w:val="-5"/>
        </w:rPr>
        <w:t> </w:t>
      </w:r>
      <w:r>
        <w:rPr>
          <w:spacing w:val="-6"/>
        </w:rPr>
        <w:t>辆，其中：副部</w:t>
      </w:r>
      <w:r>
        <w:rPr/>
        <w:t>（省</w:t>
      </w:r>
      <w:r>
        <w:rPr>
          <w:spacing w:val="-7"/>
        </w:rPr>
        <w:t>）</w:t>
      </w:r>
      <w:r>
        <w:rPr>
          <w:spacing w:val="-8"/>
        </w:rPr>
        <w:t>级及以上领导用车 </w:t>
      </w:r>
      <w:r>
        <w:rPr>
          <w:rFonts w:ascii="Times New Roman" w:eastAsia="Times New Roman"/>
        </w:rPr>
        <w:t>0</w:t>
      </w:r>
      <w:r>
        <w:rPr>
          <w:rFonts w:ascii="Times New Roman" w:eastAsia="Times New Roman"/>
          <w:spacing w:val="-4"/>
        </w:rPr>
        <w:t> </w:t>
      </w:r>
      <w:r>
        <w:rPr>
          <w:spacing w:val="-3"/>
        </w:rPr>
        <w:t>辆、主要领导干部</w:t>
      </w:r>
    </w:p>
    <w:p>
      <w:pPr>
        <w:pStyle w:val="BodyText"/>
        <w:spacing w:before="24"/>
        <w:ind w:right="1088"/>
        <w:jc w:val="right"/>
        <w:rPr>
          <w:rFonts w:ascii="Times New Roman" w:eastAsia="Times New Roman"/>
        </w:rPr>
      </w:pPr>
      <w:r>
        <w:rPr>
          <w:spacing w:val="-22"/>
        </w:rPr>
        <w:t>用车 </w:t>
      </w:r>
      <w:r>
        <w:rPr>
          <w:rFonts w:ascii="Times New Roman" w:eastAsia="Times New Roman"/>
        </w:rPr>
        <w:t>0</w:t>
      </w:r>
      <w:r>
        <w:rPr>
          <w:rFonts w:ascii="Times New Roman" w:eastAsia="Times New Roman"/>
          <w:spacing w:val="-2"/>
        </w:rPr>
        <w:t> </w:t>
      </w:r>
      <w:r>
        <w:rPr>
          <w:spacing w:val="-7"/>
        </w:rPr>
        <w:t>辆、机要通信用车 </w:t>
      </w:r>
      <w:r>
        <w:rPr>
          <w:rFonts w:ascii="Times New Roman" w:eastAsia="Times New Roman"/>
        </w:rPr>
        <w:t>0</w:t>
      </w:r>
      <w:r>
        <w:rPr>
          <w:rFonts w:ascii="Times New Roman" w:eastAsia="Times New Roman"/>
          <w:spacing w:val="-3"/>
        </w:rPr>
        <w:t> </w:t>
      </w:r>
      <w:r>
        <w:rPr>
          <w:spacing w:val="-7"/>
        </w:rPr>
        <w:t>辆、应急保障用车 </w:t>
      </w:r>
      <w:r>
        <w:rPr>
          <w:rFonts w:ascii="Times New Roman" w:eastAsia="Times New Roman"/>
        </w:rPr>
        <w:t>0</w:t>
      </w:r>
      <w:r>
        <w:rPr>
          <w:rFonts w:ascii="Times New Roman" w:eastAsia="Times New Roman"/>
          <w:spacing w:val="-2"/>
        </w:rPr>
        <w:t> </w:t>
      </w:r>
      <w:r>
        <w:rPr>
          <w:spacing w:val="-7"/>
        </w:rPr>
        <w:t>辆、执法执勤用车 </w:t>
      </w:r>
      <w:r>
        <w:rPr>
          <w:rFonts w:ascii="Times New Roman" w:eastAsia="Times New Roman"/>
        </w:rPr>
        <w:t>0</w:t>
      </w:r>
    </w:p>
    <w:p>
      <w:pPr>
        <w:pStyle w:val="BodyText"/>
        <w:spacing w:before="25"/>
        <w:ind w:right="1008"/>
        <w:jc w:val="right"/>
      </w:pPr>
      <w:r>
        <w:rPr/>
        <w:t>辆、特种专业技术用车 </w:t>
      </w:r>
      <w:r>
        <w:rPr>
          <w:rFonts w:ascii="Times New Roman" w:eastAsia="Times New Roman"/>
        </w:rPr>
        <w:t>0 </w:t>
      </w:r>
      <w:r>
        <w:rPr/>
        <w:t>辆、离退休干部用车 </w:t>
      </w:r>
      <w:r>
        <w:rPr>
          <w:rFonts w:ascii="Times New Roman" w:eastAsia="Times New Roman"/>
        </w:rPr>
        <w:t>0 </w:t>
      </w:r>
      <w:r>
        <w:rPr/>
        <w:t>辆、其他用车 </w:t>
      </w:r>
      <w:r>
        <w:rPr>
          <w:rFonts w:ascii="Times New Roman" w:eastAsia="Times New Roman"/>
        </w:rPr>
        <w:t>0 </w:t>
      </w:r>
      <w:r>
        <w:rPr/>
        <w:t>辆，</w:t>
      </w:r>
    </w:p>
    <w:p>
      <w:pPr>
        <w:pStyle w:val="BodyText"/>
        <w:spacing w:before="25"/>
        <w:ind w:right="1058"/>
        <w:jc w:val="right"/>
      </w:pPr>
      <w:r>
        <w:rPr/>
        <w:t>其他用车主要是用于单位在区域范围内的公务使用。单价 </w:t>
      </w:r>
      <w:r>
        <w:rPr>
          <w:rFonts w:ascii="Times New Roman" w:eastAsia="Times New Roman"/>
        </w:rPr>
        <w:t>50 </w:t>
      </w:r>
      <w:r>
        <w:rPr/>
        <w:t>万元以</w:t>
      </w:r>
    </w:p>
    <w:p>
      <w:pPr>
        <w:pStyle w:val="BodyText"/>
        <w:spacing w:before="25"/>
        <w:ind w:left="600"/>
      </w:pPr>
      <w:r>
        <w:rPr/>
        <w:t>上通用设备 </w:t>
      </w:r>
      <w:r>
        <w:rPr>
          <w:rFonts w:ascii="Times New Roman" w:eastAsia="Times New Roman"/>
        </w:rPr>
        <w:t>0 </w:t>
      </w:r>
      <w:r>
        <w:rPr/>
        <w:t>台（套），单价 </w:t>
      </w:r>
      <w:r>
        <w:rPr>
          <w:rFonts w:ascii="Times New Roman" w:eastAsia="Times New Roman"/>
        </w:rPr>
        <w:t>100 </w:t>
      </w:r>
      <w:r>
        <w:rPr/>
        <w:t>万元以上专用设备 </w:t>
      </w:r>
      <w:r>
        <w:rPr>
          <w:rFonts w:ascii="Times New Roman" w:eastAsia="Times New Roman"/>
        </w:rPr>
        <w:t>0 </w:t>
      </w:r>
      <w:r>
        <w:rPr/>
        <w:t>台（套）。</w:t>
      </w:r>
    </w:p>
    <w:p>
      <w:pPr>
        <w:spacing w:after="0"/>
        <w:sectPr>
          <w:pgSz w:w="11910" w:h="16840"/>
          <w:pgMar w:header="0" w:footer="1350" w:top="1600" w:bottom="1540" w:left="660" w:right="40"/>
        </w:sectPr>
      </w:pPr>
    </w:p>
    <w:p>
      <w:pPr>
        <w:pStyle w:val="BodyText"/>
        <w:spacing w:before="1"/>
        <w:ind w:left="2711" w:right="3169"/>
        <w:jc w:val="center"/>
        <w:rPr>
          <w:rFonts w:ascii="方正黑体_GBK" w:eastAsia="方正黑体_GBK" w:hint="eastAsia"/>
        </w:rPr>
      </w:pPr>
      <w:bookmarkStart w:name="_bookmark15" w:id="49"/>
      <w:bookmarkEnd w:id="49"/>
      <w:r>
        <w:rPr/>
      </w:r>
      <w:r>
        <w:rPr>
          <w:rFonts w:ascii="方正黑体_GBK" w:eastAsia="方正黑体_GBK" w:hint="eastAsia"/>
        </w:rPr>
        <w:t>第三部分 名词解释</w:t>
      </w:r>
    </w:p>
    <w:p>
      <w:pPr>
        <w:pStyle w:val="BodyText"/>
        <w:spacing w:before="11"/>
        <w:rPr>
          <w:rFonts w:ascii="方正黑体_GBK"/>
          <w:sz w:val="26"/>
        </w:rPr>
      </w:pPr>
    </w:p>
    <w:p>
      <w:pPr>
        <w:pStyle w:val="ListParagraph"/>
        <w:numPr>
          <w:ilvl w:val="2"/>
          <w:numId w:val="4"/>
        </w:numPr>
        <w:tabs>
          <w:tab w:pos="1483" w:val="left" w:leader="none"/>
        </w:tabs>
        <w:spacing w:line="240" w:lineRule="auto" w:before="0" w:after="0"/>
        <w:ind w:left="1482" w:right="0" w:hanging="243"/>
        <w:jc w:val="left"/>
        <w:rPr>
          <w:sz w:val="32"/>
        </w:rPr>
      </w:pPr>
      <w:r>
        <w:rPr>
          <w:sz w:val="32"/>
        </w:rPr>
        <w:t>财政拨款收入：指单位从同级财政部门取得的财政预算资金。</w:t>
      </w:r>
    </w:p>
    <w:p>
      <w:pPr>
        <w:pStyle w:val="ListParagraph"/>
        <w:numPr>
          <w:ilvl w:val="2"/>
          <w:numId w:val="4"/>
        </w:numPr>
        <w:tabs>
          <w:tab w:pos="1481" w:val="left" w:leader="none"/>
        </w:tabs>
        <w:spacing w:line="252" w:lineRule="auto" w:before="25" w:after="0"/>
        <w:ind w:left="600" w:right="1058" w:firstLine="640"/>
        <w:jc w:val="left"/>
        <w:rPr>
          <w:sz w:val="32"/>
        </w:rPr>
      </w:pPr>
      <w:r>
        <w:rPr>
          <w:spacing w:val="-3"/>
          <w:w w:val="95"/>
          <w:sz w:val="32"/>
        </w:rPr>
        <w:t>教育支出</w:t>
      </w:r>
      <w:r>
        <w:rPr>
          <w:w w:val="95"/>
          <w:sz w:val="32"/>
        </w:rPr>
        <w:t>（类</w:t>
      </w:r>
      <w:r>
        <w:rPr>
          <w:spacing w:val="-7"/>
          <w:w w:val="95"/>
          <w:sz w:val="32"/>
        </w:rPr>
        <w:t>）</w:t>
      </w:r>
      <w:r>
        <w:rPr>
          <w:spacing w:val="-2"/>
          <w:w w:val="95"/>
          <w:sz w:val="32"/>
        </w:rPr>
        <w:t>职业教育</w:t>
      </w:r>
      <w:r>
        <w:rPr>
          <w:w w:val="95"/>
          <w:sz w:val="32"/>
        </w:rPr>
        <w:t>（款</w:t>
      </w:r>
      <w:r>
        <w:rPr>
          <w:spacing w:val="-10"/>
          <w:w w:val="95"/>
          <w:sz w:val="32"/>
        </w:rPr>
        <w:t>）</w:t>
      </w:r>
      <w:r>
        <w:rPr>
          <w:spacing w:val="-2"/>
          <w:w w:val="95"/>
          <w:sz w:val="32"/>
        </w:rPr>
        <w:t>职业高中教育</w:t>
      </w:r>
      <w:r>
        <w:rPr>
          <w:w w:val="95"/>
          <w:sz w:val="32"/>
        </w:rPr>
        <w:t>（项</w:t>
      </w:r>
      <w:r>
        <w:rPr>
          <w:spacing w:val="-5"/>
          <w:w w:val="95"/>
          <w:sz w:val="32"/>
        </w:rPr>
        <w:t>）</w:t>
      </w:r>
      <w:r>
        <w:rPr>
          <w:rFonts w:ascii="Times New Roman" w:eastAsia="Times New Roman"/>
          <w:spacing w:val="-5"/>
          <w:w w:val="95"/>
          <w:sz w:val="32"/>
        </w:rPr>
        <w:t>:</w:t>
      </w:r>
      <w:r>
        <w:rPr>
          <w:w w:val="95"/>
          <w:sz w:val="32"/>
        </w:rPr>
        <w:t>反映各部 </w:t>
      </w:r>
      <w:r>
        <w:rPr>
          <w:sz w:val="32"/>
        </w:rPr>
        <w:t>门举办的职业高中教育教育支出。</w:t>
      </w:r>
    </w:p>
    <w:p>
      <w:pPr>
        <w:pStyle w:val="ListParagraph"/>
        <w:numPr>
          <w:ilvl w:val="2"/>
          <w:numId w:val="4"/>
        </w:numPr>
        <w:tabs>
          <w:tab w:pos="1481" w:val="left" w:leader="none"/>
        </w:tabs>
        <w:spacing w:line="252" w:lineRule="auto" w:before="0" w:after="0"/>
        <w:ind w:left="600" w:right="1058" w:firstLine="640"/>
        <w:jc w:val="left"/>
        <w:rPr>
          <w:sz w:val="32"/>
        </w:rPr>
      </w:pPr>
      <w:r>
        <w:rPr>
          <w:spacing w:val="-3"/>
          <w:w w:val="95"/>
          <w:sz w:val="32"/>
        </w:rPr>
        <w:t>教育支出</w:t>
      </w:r>
      <w:r>
        <w:rPr>
          <w:w w:val="95"/>
          <w:sz w:val="32"/>
        </w:rPr>
        <w:t>（类</w:t>
      </w:r>
      <w:r>
        <w:rPr>
          <w:spacing w:val="-7"/>
          <w:w w:val="95"/>
          <w:sz w:val="32"/>
        </w:rPr>
        <w:t>）</w:t>
      </w:r>
      <w:r>
        <w:rPr>
          <w:spacing w:val="-2"/>
          <w:w w:val="95"/>
          <w:sz w:val="32"/>
        </w:rPr>
        <w:t>职业教育</w:t>
      </w:r>
      <w:r>
        <w:rPr>
          <w:w w:val="95"/>
          <w:sz w:val="32"/>
        </w:rPr>
        <w:t>（款</w:t>
      </w:r>
      <w:r>
        <w:rPr>
          <w:spacing w:val="-10"/>
          <w:w w:val="95"/>
          <w:sz w:val="32"/>
        </w:rPr>
        <w:t>）</w:t>
      </w:r>
      <w:r>
        <w:rPr>
          <w:spacing w:val="-2"/>
          <w:w w:val="95"/>
          <w:sz w:val="32"/>
        </w:rPr>
        <w:t>其他职业教育支出</w:t>
      </w:r>
      <w:r>
        <w:rPr>
          <w:w w:val="95"/>
          <w:sz w:val="32"/>
        </w:rPr>
        <w:t>（项</w:t>
      </w:r>
      <w:r>
        <w:rPr>
          <w:spacing w:val="-5"/>
          <w:w w:val="95"/>
          <w:sz w:val="32"/>
        </w:rPr>
        <w:t>）</w:t>
      </w:r>
      <w:r>
        <w:rPr>
          <w:rFonts w:ascii="Times New Roman" w:eastAsia="Times New Roman"/>
          <w:spacing w:val="-5"/>
          <w:w w:val="95"/>
          <w:sz w:val="32"/>
        </w:rPr>
        <w:t>:</w:t>
      </w:r>
      <w:r>
        <w:rPr>
          <w:w w:val="95"/>
          <w:sz w:val="32"/>
        </w:rPr>
        <w:t>指除 </w:t>
      </w:r>
      <w:r>
        <w:rPr>
          <w:sz w:val="32"/>
        </w:rPr>
        <w:t>上述项目以外的其他职业教育支出。</w:t>
      </w:r>
    </w:p>
    <w:p>
      <w:pPr>
        <w:pStyle w:val="ListParagraph"/>
        <w:numPr>
          <w:ilvl w:val="2"/>
          <w:numId w:val="4"/>
        </w:numPr>
        <w:tabs>
          <w:tab w:pos="1481" w:val="left" w:leader="none"/>
        </w:tabs>
        <w:spacing w:line="252" w:lineRule="auto" w:before="0" w:after="0"/>
        <w:ind w:left="600" w:right="1058" w:firstLine="640"/>
        <w:jc w:val="both"/>
        <w:rPr>
          <w:sz w:val="32"/>
        </w:rPr>
      </w:pPr>
      <w:r>
        <w:rPr>
          <w:sz w:val="32"/>
        </w:rPr>
        <w:t>社会保障和就业（类）行政事业单位离退休（款）机关事业单</w:t>
      </w:r>
      <w:r>
        <w:rPr>
          <w:spacing w:val="-2"/>
          <w:w w:val="95"/>
          <w:sz w:val="32"/>
        </w:rPr>
        <w:t>位基本养老保险缴费支出</w:t>
      </w:r>
      <w:r>
        <w:rPr>
          <w:w w:val="95"/>
          <w:sz w:val="32"/>
        </w:rPr>
        <w:t>（项</w:t>
      </w:r>
      <w:r>
        <w:rPr>
          <w:spacing w:val="-16"/>
          <w:w w:val="95"/>
          <w:sz w:val="32"/>
        </w:rPr>
        <w:t>）</w:t>
      </w:r>
      <w:r>
        <w:rPr>
          <w:spacing w:val="-4"/>
          <w:w w:val="95"/>
          <w:sz w:val="32"/>
        </w:rPr>
        <w:t>：指机关事业单位实施养老保险制度  </w:t>
      </w:r>
      <w:r>
        <w:rPr>
          <w:spacing w:val="-4"/>
          <w:sz w:val="32"/>
        </w:rPr>
        <w:t>由单位缴纳的基本养老保险费支出。</w:t>
      </w:r>
    </w:p>
    <w:p>
      <w:pPr>
        <w:pStyle w:val="ListParagraph"/>
        <w:numPr>
          <w:ilvl w:val="2"/>
          <w:numId w:val="4"/>
        </w:numPr>
        <w:tabs>
          <w:tab w:pos="1481" w:val="left" w:leader="none"/>
        </w:tabs>
        <w:spacing w:line="252" w:lineRule="auto" w:before="0" w:after="0"/>
        <w:ind w:left="600" w:right="1058" w:firstLine="640"/>
        <w:jc w:val="both"/>
        <w:rPr>
          <w:sz w:val="32"/>
        </w:rPr>
      </w:pPr>
      <w:r>
        <w:rPr>
          <w:sz w:val="32"/>
        </w:rPr>
        <w:t>社会保障和就业（类）行政事业单位离退休（款）机关事业单</w:t>
      </w:r>
      <w:r>
        <w:rPr>
          <w:spacing w:val="-2"/>
          <w:w w:val="95"/>
          <w:sz w:val="32"/>
        </w:rPr>
        <w:t>位职业年金缴费支出</w:t>
      </w:r>
      <w:r>
        <w:rPr>
          <w:w w:val="95"/>
          <w:sz w:val="32"/>
        </w:rPr>
        <w:t>（项</w:t>
      </w:r>
      <w:r>
        <w:rPr>
          <w:spacing w:val="-17"/>
          <w:w w:val="95"/>
          <w:sz w:val="32"/>
        </w:rPr>
        <w:t>）</w:t>
      </w:r>
      <w:r>
        <w:rPr>
          <w:spacing w:val="-4"/>
          <w:w w:val="95"/>
          <w:sz w:val="32"/>
        </w:rPr>
        <w:t>：指反映机关事业单位实施养老保险制度  </w:t>
      </w:r>
      <w:r>
        <w:rPr>
          <w:spacing w:val="-4"/>
          <w:sz w:val="32"/>
        </w:rPr>
        <w:t>由单位实际缴纳的职业年金支出。</w:t>
      </w:r>
    </w:p>
    <w:p>
      <w:pPr>
        <w:pStyle w:val="ListParagraph"/>
        <w:numPr>
          <w:ilvl w:val="2"/>
          <w:numId w:val="4"/>
        </w:numPr>
        <w:tabs>
          <w:tab w:pos="1481" w:val="left" w:leader="none"/>
        </w:tabs>
        <w:spacing w:line="252" w:lineRule="auto" w:before="0" w:after="0"/>
        <w:ind w:left="600" w:right="900" w:firstLine="640"/>
        <w:jc w:val="left"/>
        <w:rPr>
          <w:sz w:val="32"/>
        </w:rPr>
      </w:pPr>
      <w:r>
        <w:rPr>
          <w:sz w:val="32"/>
        </w:rPr>
        <w:t>医疗卫生与计划生育（类）行政事业单位医疗（款）事业单位</w:t>
      </w:r>
      <w:r>
        <w:rPr>
          <w:spacing w:val="-34"/>
          <w:w w:val="95"/>
          <w:sz w:val="32"/>
        </w:rPr>
        <w:t>医疗</w:t>
      </w:r>
      <w:r>
        <w:rPr>
          <w:w w:val="95"/>
          <w:sz w:val="32"/>
        </w:rPr>
        <w:t>（项</w:t>
      </w:r>
      <w:r>
        <w:rPr>
          <w:spacing w:val="-70"/>
          <w:w w:val="95"/>
          <w:sz w:val="32"/>
        </w:rPr>
        <w:t>）：</w:t>
      </w:r>
      <w:r>
        <w:rPr>
          <w:w w:val="95"/>
          <w:sz w:val="32"/>
        </w:rPr>
        <w:t>指反映财政部门安排的事业单位基本医疗保险缴费经费，  </w:t>
      </w:r>
      <w:r>
        <w:rPr>
          <w:spacing w:val="-3"/>
          <w:sz w:val="32"/>
        </w:rPr>
        <w:t>未参加医疗保险的事业单位的公费医疗经费，按国家规定享受离休人员待遇的医疗经费。</w:t>
      </w:r>
    </w:p>
    <w:p>
      <w:pPr>
        <w:pStyle w:val="ListParagraph"/>
        <w:numPr>
          <w:ilvl w:val="2"/>
          <w:numId w:val="4"/>
        </w:numPr>
        <w:tabs>
          <w:tab w:pos="1481" w:val="left" w:leader="none"/>
        </w:tabs>
        <w:spacing w:line="252" w:lineRule="auto" w:before="0" w:after="0"/>
        <w:ind w:left="600" w:right="1058" w:firstLine="640"/>
        <w:jc w:val="left"/>
        <w:rPr>
          <w:sz w:val="32"/>
        </w:rPr>
      </w:pPr>
      <w:r>
        <w:rPr>
          <w:sz w:val="32"/>
        </w:rPr>
        <w:t>医疗卫生与计划生育（类）行政事业单位医疗（款）公务员医疗补助（项）：指反映财政部门安排的公务员医疗补助经费。</w:t>
      </w:r>
    </w:p>
    <w:p>
      <w:pPr>
        <w:pStyle w:val="ListParagraph"/>
        <w:numPr>
          <w:ilvl w:val="2"/>
          <w:numId w:val="4"/>
        </w:numPr>
        <w:tabs>
          <w:tab w:pos="1481" w:val="left" w:leader="none"/>
        </w:tabs>
        <w:spacing w:line="252" w:lineRule="auto" w:before="0" w:after="0"/>
        <w:ind w:left="600" w:right="930" w:firstLine="640"/>
        <w:jc w:val="left"/>
        <w:rPr>
          <w:sz w:val="32"/>
        </w:rPr>
      </w:pPr>
      <w:r>
        <w:rPr>
          <w:sz w:val="32"/>
        </w:rPr>
        <w:t>住房保障支出（类）住房改革支出（款）住房公积金（项）</w:t>
      </w:r>
      <w:r>
        <w:rPr>
          <w:spacing w:val="3"/>
          <w:sz w:val="32"/>
        </w:rPr>
        <w:t> ： 指行政事业单位按人力资源和社会保障部、财政部规定的基本工</w:t>
      </w:r>
    </w:p>
    <w:p>
      <w:pPr>
        <w:pStyle w:val="BodyText"/>
        <w:spacing w:line="514" w:lineRule="exact"/>
        <w:ind w:left="600"/>
      </w:pPr>
      <w:r>
        <w:rPr/>
        <w:t>资和津贴补贴以及规定比例为职工缴纳的住房公积金。</w:t>
      </w:r>
    </w:p>
    <w:p>
      <w:pPr>
        <w:pStyle w:val="ListParagraph"/>
        <w:numPr>
          <w:ilvl w:val="2"/>
          <w:numId w:val="4"/>
        </w:numPr>
        <w:tabs>
          <w:tab w:pos="1481" w:val="left" w:leader="none"/>
        </w:tabs>
        <w:spacing w:line="252" w:lineRule="auto" w:before="13" w:after="0"/>
        <w:ind w:left="600" w:right="1058" w:firstLine="640"/>
        <w:jc w:val="left"/>
        <w:rPr>
          <w:sz w:val="32"/>
        </w:rPr>
      </w:pPr>
      <w:r>
        <w:rPr>
          <w:sz w:val="32"/>
        </w:rPr>
        <w:t>基本支出：指为保障机构正常运转、完成日常工作任务而发生的人员支出和公用支出。</w:t>
      </w:r>
    </w:p>
    <w:p>
      <w:pPr>
        <w:pStyle w:val="ListParagraph"/>
        <w:numPr>
          <w:ilvl w:val="2"/>
          <w:numId w:val="4"/>
        </w:numPr>
        <w:tabs>
          <w:tab w:pos="1641" w:val="left" w:leader="none"/>
        </w:tabs>
        <w:spacing w:line="513" w:lineRule="exact" w:before="0" w:after="0"/>
        <w:ind w:left="1640" w:right="0" w:hanging="401"/>
        <w:jc w:val="left"/>
        <w:rPr>
          <w:sz w:val="32"/>
        </w:rPr>
      </w:pPr>
      <w:r>
        <w:rPr>
          <w:spacing w:val="-12"/>
          <w:sz w:val="32"/>
        </w:rPr>
        <w:t>项目支出：指在基本支出之外为完成特定行政任务和事业发展</w:t>
      </w:r>
    </w:p>
    <w:p>
      <w:pPr>
        <w:spacing w:after="0" w:line="513" w:lineRule="exact"/>
        <w:jc w:val="left"/>
        <w:rPr>
          <w:sz w:val="32"/>
        </w:rPr>
        <w:sectPr>
          <w:pgSz w:w="11910" w:h="16840"/>
          <w:pgMar w:header="0" w:footer="1350" w:top="1560" w:bottom="1540" w:left="660" w:right="40"/>
        </w:sectPr>
      </w:pPr>
    </w:p>
    <w:p>
      <w:pPr>
        <w:pStyle w:val="BodyText"/>
        <w:spacing w:before="52"/>
        <w:ind w:left="600"/>
      </w:pPr>
      <w:bookmarkStart w:name="第四部分 附  件" w:id="50"/>
      <w:bookmarkEnd w:id="50"/>
      <w:r>
        <w:rPr/>
      </w:r>
      <w:r>
        <w:rPr/>
        <w:t>目标所发生的支出。</w:t>
      </w:r>
    </w:p>
    <w:p>
      <w:pPr>
        <w:pStyle w:val="ListParagraph"/>
        <w:numPr>
          <w:ilvl w:val="2"/>
          <w:numId w:val="4"/>
        </w:numPr>
        <w:tabs>
          <w:tab w:pos="1641" w:val="left" w:leader="none"/>
        </w:tabs>
        <w:spacing w:line="252" w:lineRule="auto" w:before="25" w:after="0"/>
        <w:ind w:left="600" w:right="900" w:firstLine="640"/>
        <w:jc w:val="left"/>
        <w:rPr>
          <w:sz w:val="32"/>
        </w:rPr>
      </w:pPr>
      <w:r>
        <w:rPr>
          <w:rFonts w:ascii="Times New Roman" w:hAnsi="Times New Roman" w:eastAsia="Times New Roman"/>
          <w:sz w:val="32"/>
        </w:rPr>
        <w:t>“</w:t>
      </w:r>
      <w:r>
        <w:rPr>
          <w:sz w:val="32"/>
        </w:rPr>
        <w:t>三公</w:t>
      </w:r>
      <w:r>
        <w:rPr>
          <w:rFonts w:ascii="Times New Roman" w:hAnsi="Times New Roman" w:eastAsia="Times New Roman"/>
          <w:sz w:val="32"/>
        </w:rPr>
        <w:t>”</w:t>
      </w:r>
      <w:r>
        <w:rPr>
          <w:spacing w:val="-6"/>
          <w:sz w:val="32"/>
        </w:rPr>
        <w:t>经费：指部门用财政拨款安排的因公出国</w:t>
      </w:r>
      <w:r>
        <w:rPr>
          <w:sz w:val="32"/>
        </w:rPr>
        <w:t>（境</w:t>
      </w:r>
      <w:r>
        <w:rPr>
          <w:spacing w:val="-22"/>
          <w:sz w:val="32"/>
        </w:rPr>
        <w:t>）</w:t>
      </w:r>
      <w:r>
        <w:rPr>
          <w:spacing w:val="-8"/>
          <w:sz w:val="32"/>
        </w:rPr>
        <w:t>费、公</w:t>
      </w:r>
      <w:r>
        <w:rPr>
          <w:spacing w:val="-11"/>
          <w:sz w:val="32"/>
        </w:rPr>
        <w:t>务用车购置及运行费和公务接待费。其中，因公出国</w:t>
      </w:r>
      <w:r>
        <w:rPr>
          <w:sz w:val="32"/>
        </w:rPr>
        <w:t>（境</w:t>
      </w:r>
      <w:r>
        <w:rPr>
          <w:spacing w:val="-10"/>
          <w:sz w:val="32"/>
        </w:rPr>
        <w:t>）</w:t>
      </w:r>
      <w:r>
        <w:rPr>
          <w:sz w:val="32"/>
        </w:rPr>
        <w:t>费反映单</w:t>
      </w:r>
      <w:r>
        <w:rPr>
          <w:spacing w:val="-9"/>
          <w:w w:val="95"/>
          <w:sz w:val="32"/>
        </w:rPr>
        <w:t>位公务出国</w:t>
      </w:r>
      <w:r>
        <w:rPr>
          <w:w w:val="95"/>
          <w:sz w:val="32"/>
        </w:rPr>
        <w:t>（境</w:t>
      </w:r>
      <w:r>
        <w:rPr>
          <w:spacing w:val="-41"/>
          <w:w w:val="95"/>
          <w:sz w:val="32"/>
        </w:rPr>
        <w:t>）</w:t>
      </w:r>
      <w:r>
        <w:rPr>
          <w:spacing w:val="-11"/>
          <w:w w:val="95"/>
          <w:sz w:val="32"/>
        </w:rPr>
        <w:t>的国际旅费、国外城市间交通费、住宿费、伙食费、  </w:t>
      </w:r>
      <w:r>
        <w:rPr>
          <w:spacing w:val="-10"/>
          <w:sz w:val="32"/>
        </w:rPr>
        <w:t>培训费、公杂费等支出；公务用车购置及运行费反映单位公务用车车辆购置支出</w:t>
      </w:r>
      <w:r>
        <w:rPr>
          <w:sz w:val="32"/>
        </w:rPr>
        <w:t>（含车辆购置税</w:t>
      </w:r>
      <w:r>
        <w:rPr>
          <w:spacing w:val="-10"/>
          <w:sz w:val="32"/>
        </w:rPr>
        <w:t>）</w:t>
      </w:r>
      <w:r>
        <w:rPr>
          <w:spacing w:val="-4"/>
          <w:sz w:val="32"/>
        </w:rPr>
        <w:t>及租用费、燃料费、维修费、过路过桥</w:t>
      </w:r>
      <w:r>
        <w:rPr>
          <w:spacing w:val="-8"/>
          <w:sz w:val="32"/>
        </w:rPr>
        <w:t>费、保险费等支出；公务接待费反映单位按规定开支的各类公务接待</w:t>
      </w:r>
    </w:p>
    <w:p>
      <w:pPr>
        <w:pStyle w:val="BodyText"/>
        <w:spacing w:line="510" w:lineRule="exact"/>
        <w:ind w:left="439"/>
      </w:pPr>
      <w:r>
        <w:rPr/>
        <w:t>（含外宾接待）支出。</w:t>
      </w:r>
    </w:p>
    <w:p>
      <w:pPr>
        <w:spacing w:after="0" w:line="510" w:lineRule="exact"/>
        <w:sectPr>
          <w:pgSz w:w="11910" w:h="16840"/>
          <w:pgMar w:header="0" w:footer="1350" w:top="1600" w:bottom="1540" w:left="660" w:right="40"/>
        </w:sectPr>
      </w:pPr>
    </w:p>
    <w:p>
      <w:pPr>
        <w:pStyle w:val="BodyText"/>
        <w:spacing w:before="16"/>
        <w:rPr>
          <w:sz w:val="28"/>
        </w:rPr>
      </w:pPr>
    </w:p>
    <w:p>
      <w:pPr>
        <w:pStyle w:val="BodyText"/>
        <w:ind w:left="600"/>
        <w:rPr>
          <w:rFonts w:ascii="Times New Roman" w:eastAsia="Times New Roman"/>
        </w:rPr>
      </w:pPr>
      <w:r>
        <w:rPr>
          <w:rFonts w:ascii="微软雅黑" w:eastAsia="微软雅黑" w:hint="eastAsia"/>
        </w:rPr>
        <w:t>附 件 </w:t>
      </w:r>
      <w:r>
        <w:rPr>
          <w:rFonts w:ascii="Times New Roman" w:eastAsia="Times New Roman"/>
        </w:rPr>
        <w:t>1-1</w:t>
      </w:r>
    </w:p>
    <w:p>
      <w:pPr>
        <w:pStyle w:val="BodyText"/>
        <w:tabs>
          <w:tab w:pos="4111" w:val="left" w:leader="none"/>
        </w:tabs>
        <w:spacing w:before="1"/>
        <w:ind w:left="2030"/>
        <w:rPr>
          <w:rFonts w:ascii="方正黑体_GBK" w:eastAsia="方正黑体_GBK" w:hint="eastAsia"/>
        </w:rPr>
      </w:pPr>
      <w:r>
        <w:rPr/>
        <w:br w:type="column"/>
      </w:r>
      <w:bookmarkStart w:name="_bookmark16" w:id="51"/>
      <w:bookmarkEnd w:id="51"/>
      <w:r>
        <w:rPr/>
      </w:r>
      <w:r>
        <w:rPr>
          <w:rFonts w:ascii="方正黑体_GBK" w:eastAsia="方正黑体_GBK" w:hint="eastAsia"/>
        </w:rPr>
        <w:t>第四部分</w:t>
      </w:r>
      <w:r>
        <w:rPr>
          <w:rFonts w:ascii="方正黑体_GBK" w:eastAsia="方正黑体_GBK" w:hint="eastAsia"/>
          <w:spacing w:val="70"/>
        </w:rPr>
        <w:t> </w:t>
      </w:r>
      <w:r>
        <w:rPr>
          <w:rFonts w:ascii="方正黑体_GBK" w:eastAsia="方正黑体_GBK" w:hint="eastAsia"/>
        </w:rPr>
        <w:t>附</w:t>
        <w:tab/>
        <w:t>件</w:t>
      </w:r>
    </w:p>
    <w:p>
      <w:pPr>
        <w:pStyle w:val="BodyText"/>
        <w:spacing w:before="9"/>
        <w:rPr>
          <w:rFonts w:ascii="方正黑体_GBK"/>
          <w:sz w:val="34"/>
        </w:rPr>
      </w:pPr>
    </w:p>
    <w:p>
      <w:pPr>
        <w:spacing w:before="0"/>
        <w:ind w:left="600" w:right="0" w:firstLine="0"/>
        <w:jc w:val="left"/>
        <w:rPr>
          <w:rFonts w:ascii="仿宋" w:eastAsia="仿宋" w:hint="eastAsia"/>
          <w:sz w:val="24"/>
        </w:rPr>
      </w:pPr>
      <w:r>
        <w:rPr>
          <w:rFonts w:ascii="Times New Roman" w:eastAsia="Times New Roman"/>
          <w:sz w:val="24"/>
        </w:rPr>
        <w:t>2019 </w:t>
      </w:r>
      <w:r>
        <w:rPr>
          <w:rFonts w:ascii="仿宋" w:eastAsia="仿宋" w:hint="eastAsia"/>
          <w:sz w:val="24"/>
        </w:rPr>
        <w:t>年度运转补助专项经费项目绩效自评表</w:t>
      </w:r>
    </w:p>
    <w:p>
      <w:pPr>
        <w:spacing w:after="0"/>
        <w:jc w:val="left"/>
        <w:rPr>
          <w:rFonts w:ascii="仿宋" w:eastAsia="仿宋" w:hint="eastAsia"/>
          <w:sz w:val="24"/>
        </w:rPr>
        <w:sectPr>
          <w:pgSz w:w="11910" w:h="16840"/>
          <w:pgMar w:header="0" w:footer="1350" w:top="1560" w:bottom="1540" w:left="660" w:right="40"/>
          <w:cols w:num="2" w:equalWidth="0">
            <w:col w:w="1866" w:space="599"/>
            <w:col w:w="8745"/>
          </w:cols>
        </w:sect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spacing w:before="3"/>
        <w:rPr>
          <w:rFonts w:ascii="仿宋"/>
          <w:sz w:val="18"/>
        </w:rPr>
      </w:pPr>
    </w:p>
    <w:p>
      <w:pPr>
        <w:pStyle w:val="BodyText"/>
        <w:spacing w:line="20" w:lineRule="exact"/>
        <w:ind w:left="9707"/>
        <w:rPr>
          <w:rFonts w:ascii="仿宋"/>
          <w:sz w:val="2"/>
        </w:rPr>
      </w:pPr>
      <w:r>
        <w:rPr>
          <w:rFonts w:ascii="仿宋"/>
          <w:sz w:val="2"/>
        </w:rPr>
        <w:pict>
          <v:group style="width:.1pt;height:.6pt;mso-position-horizontal-relative:char;mso-position-vertical-relative:line" coordorigin="0,0" coordsize="2,12">
            <v:rect style="position:absolute;left:0;top:0;width:2;height:12" filled="true" fillcolor="#d2d2d2" stroked="false">
              <v:fill type="solid"/>
            </v:rect>
          </v:group>
        </w:pict>
      </w:r>
      <w:r>
        <w:rPr>
          <w:rFonts w:ascii="仿宋"/>
          <w:sz w:val="2"/>
        </w:rPr>
      </w:r>
    </w:p>
    <w:p>
      <w:pPr>
        <w:pStyle w:val="BodyText"/>
        <w:spacing w:before="1"/>
        <w:rPr>
          <w:rFonts w:ascii="仿宋"/>
          <w:sz w:val="5"/>
        </w:rPr>
      </w:pPr>
      <w:r>
        <w:rPr/>
        <w:pict>
          <v:rect style="position:absolute;margin-left:518.349976pt;margin-top:5.25pt;width:.1pt;height:.6pt;mso-position-horizontal-relative:page;mso-position-vertical-relative:paragraph;z-index:-251654144;mso-wrap-distance-left:0;mso-wrap-distance-right:0" filled="true" fillcolor="#d2d2d2" stroked="false">
            <v:fill type="solid"/>
            <w10:wrap type="topAndBottom"/>
          </v:rect>
        </w:pict>
      </w:r>
    </w:p>
    <w:p>
      <w:pPr>
        <w:pStyle w:val="BodyText"/>
        <w:rPr>
          <w:rFonts w:ascii="仿宋"/>
          <w:sz w:val="20"/>
        </w:rPr>
      </w:pPr>
    </w:p>
    <w:p>
      <w:pPr>
        <w:pStyle w:val="BodyText"/>
        <w:rPr>
          <w:rFonts w:ascii="仿宋"/>
          <w:sz w:val="20"/>
        </w:rPr>
      </w:pPr>
    </w:p>
    <w:p>
      <w:pPr>
        <w:pStyle w:val="BodyText"/>
        <w:spacing w:before="11"/>
        <w:rPr>
          <w:rFonts w:ascii="仿宋"/>
          <w:sz w:val="24"/>
        </w:rPr>
      </w:pPr>
    </w:p>
    <w:p>
      <w:pPr>
        <w:spacing w:before="78"/>
        <w:ind w:left="10936" w:right="0" w:firstLine="0"/>
        <w:jc w:val="left"/>
        <w:rPr>
          <w:rFonts w:ascii="仿宋" w:eastAsia="仿宋" w:hint="eastAsia"/>
          <w:sz w:val="16"/>
        </w:rPr>
      </w:pPr>
      <w:r>
        <w:rPr/>
        <w:pict>
          <v:shape style="position:absolute;margin-left:38.360001pt;margin-top:-119.439987pt;width:546.3pt;height:530.5pt;mso-position-horizontal-relative:page;mso-position-vertical-relative:paragraph;z-index:251674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
                    <w:gridCol w:w="1100"/>
                    <w:gridCol w:w="938"/>
                    <w:gridCol w:w="1023"/>
                    <w:gridCol w:w="866"/>
                    <w:gridCol w:w="734"/>
                    <w:gridCol w:w="655"/>
                    <w:gridCol w:w="382"/>
                    <w:gridCol w:w="2369"/>
                    <w:gridCol w:w="2049"/>
                  </w:tblGrid>
                  <w:tr>
                    <w:trPr>
                      <w:trHeight w:val="260" w:hRule="atLeast"/>
                    </w:trPr>
                    <w:tc>
                      <w:tcPr>
                        <w:tcW w:w="1895" w:type="dxa"/>
                        <w:gridSpan w:val="2"/>
                      </w:tcPr>
                      <w:p>
                        <w:pPr>
                          <w:pStyle w:val="TableParagraph"/>
                          <w:spacing w:line="183" w:lineRule="exact" w:before="57"/>
                          <w:ind w:left="451"/>
                          <w:rPr>
                            <w:sz w:val="16"/>
                          </w:rPr>
                        </w:pPr>
                        <w:r>
                          <w:rPr>
                            <w:sz w:val="16"/>
                          </w:rPr>
                          <w:t>项目名称</w:t>
                        </w:r>
                      </w:p>
                    </w:tc>
                    <w:tc>
                      <w:tcPr>
                        <w:tcW w:w="9016" w:type="dxa"/>
                        <w:gridSpan w:val="8"/>
                      </w:tcPr>
                      <w:p>
                        <w:pPr>
                          <w:pStyle w:val="TableParagraph"/>
                          <w:spacing w:line="197" w:lineRule="exact" w:before="42"/>
                          <w:ind w:left="3"/>
                          <w:rPr>
                            <w:sz w:val="16"/>
                          </w:rPr>
                        </w:pPr>
                        <w:r>
                          <w:rPr>
                            <w:sz w:val="16"/>
                          </w:rPr>
                          <w:t>运转补助</w:t>
                        </w:r>
                      </w:p>
                    </w:tc>
                  </w:tr>
                  <w:tr>
                    <w:trPr>
                      <w:trHeight w:val="260" w:hRule="atLeast"/>
                    </w:trPr>
                    <w:tc>
                      <w:tcPr>
                        <w:tcW w:w="1895" w:type="dxa"/>
                        <w:gridSpan w:val="2"/>
                      </w:tcPr>
                      <w:p>
                        <w:pPr>
                          <w:pStyle w:val="TableParagraph"/>
                          <w:spacing w:line="184" w:lineRule="exact" w:before="55"/>
                          <w:ind w:left="451"/>
                          <w:rPr>
                            <w:sz w:val="16"/>
                          </w:rPr>
                        </w:pPr>
                        <w:r>
                          <w:rPr>
                            <w:sz w:val="16"/>
                          </w:rPr>
                          <w:t>主管部门</w:t>
                        </w:r>
                      </w:p>
                    </w:tc>
                    <w:tc>
                      <w:tcPr>
                        <w:tcW w:w="3561" w:type="dxa"/>
                        <w:gridSpan w:val="4"/>
                      </w:tcPr>
                      <w:p>
                        <w:pPr>
                          <w:pStyle w:val="TableParagraph"/>
                          <w:spacing w:line="196" w:lineRule="exact" w:before="44"/>
                          <w:ind w:left="3"/>
                          <w:rPr>
                            <w:sz w:val="16"/>
                          </w:rPr>
                        </w:pPr>
                        <w:r>
                          <w:rPr>
                            <w:sz w:val="16"/>
                          </w:rPr>
                          <w:t>成都市青羊区教育局（盖章）</w:t>
                        </w:r>
                      </w:p>
                    </w:tc>
                    <w:tc>
                      <w:tcPr>
                        <w:tcW w:w="1037" w:type="dxa"/>
                        <w:gridSpan w:val="2"/>
                      </w:tcPr>
                      <w:p>
                        <w:pPr>
                          <w:pStyle w:val="TableParagraph"/>
                          <w:spacing w:line="196" w:lineRule="exact" w:before="44"/>
                          <w:ind w:left="131"/>
                          <w:rPr>
                            <w:sz w:val="16"/>
                          </w:rPr>
                        </w:pPr>
                        <w:r>
                          <w:rPr>
                            <w:sz w:val="16"/>
                          </w:rPr>
                          <w:t>实施单位</w:t>
                        </w:r>
                      </w:p>
                    </w:tc>
                    <w:tc>
                      <w:tcPr>
                        <w:tcW w:w="4418" w:type="dxa"/>
                        <w:gridSpan w:val="2"/>
                      </w:tcPr>
                      <w:p>
                        <w:pPr>
                          <w:pStyle w:val="TableParagraph"/>
                          <w:spacing w:line="196" w:lineRule="exact" w:before="44"/>
                          <w:ind w:left="4"/>
                          <w:rPr>
                            <w:sz w:val="16"/>
                          </w:rPr>
                        </w:pPr>
                        <w:r>
                          <w:rPr>
                            <w:sz w:val="16"/>
                          </w:rPr>
                          <w:t>四川省成都市青苏职业中专学校（盖章）</w:t>
                        </w:r>
                      </w:p>
                    </w:tc>
                  </w:tr>
                  <w:tr>
                    <w:trPr>
                      <w:trHeight w:val="305" w:hRule="atLeast"/>
                    </w:trPr>
                    <w:tc>
                      <w:tcPr>
                        <w:tcW w:w="795" w:type="dxa"/>
                        <w:vMerge w:val="restart"/>
                      </w:tcPr>
                      <w:p>
                        <w:pPr>
                          <w:pStyle w:val="TableParagraph"/>
                          <w:rPr>
                            <w:sz w:val="16"/>
                          </w:rPr>
                        </w:pPr>
                      </w:p>
                      <w:p>
                        <w:pPr>
                          <w:pStyle w:val="TableParagraph"/>
                          <w:rPr>
                            <w:sz w:val="16"/>
                          </w:rPr>
                        </w:pPr>
                      </w:p>
                      <w:p>
                        <w:pPr>
                          <w:pStyle w:val="TableParagraph"/>
                          <w:spacing w:line="220" w:lineRule="auto" w:before="125"/>
                          <w:ind w:left="91" w:right="211"/>
                          <w:rPr>
                            <w:sz w:val="16"/>
                          </w:rPr>
                        </w:pPr>
                        <w:r>
                          <w:rPr>
                            <w:sz w:val="16"/>
                          </w:rPr>
                          <w:t>项目基本情况</w:t>
                        </w:r>
                      </w:p>
                    </w:tc>
                    <w:tc>
                      <w:tcPr>
                        <w:tcW w:w="2038" w:type="dxa"/>
                        <w:gridSpan w:val="2"/>
                      </w:tcPr>
                      <w:p>
                        <w:pPr>
                          <w:pStyle w:val="TableParagraph"/>
                          <w:spacing w:before="57"/>
                          <w:ind w:left="4"/>
                          <w:rPr>
                            <w:sz w:val="16"/>
                          </w:rPr>
                        </w:pPr>
                        <w:r>
                          <w:rPr>
                            <w:sz w:val="16"/>
                          </w:rPr>
                          <w:t>1.项目立项依据</w:t>
                        </w:r>
                      </w:p>
                    </w:tc>
                    <w:tc>
                      <w:tcPr>
                        <w:tcW w:w="8078" w:type="dxa"/>
                        <w:gridSpan w:val="7"/>
                      </w:tcPr>
                      <w:p>
                        <w:pPr>
                          <w:pStyle w:val="TableParagraph"/>
                          <w:spacing w:before="57"/>
                          <w:ind w:left="18"/>
                          <w:rPr>
                            <w:sz w:val="16"/>
                          </w:rPr>
                        </w:pPr>
                        <w:r>
                          <w:rPr>
                            <w:sz w:val="16"/>
                          </w:rPr>
                          <w:t>为进一步健全学校教育经费保障机制，促进教育均衡发展，切实提高学校运转经费保障水平。</w:t>
                        </w:r>
                      </w:p>
                    </w:tc>
                  </w:tr>
                  <w:tr>
                    <w:trPr>
                      <w:trHeight w:val="260" w:hRule="atLeast"/>
                    </w:trPr>
                    <w:tc>
                      <w:tcPr>
                        <w:tcW w:w="795" w:type="dxa"/>
                        <w:vMerge/>
                        <w:tcBorders>
                          <w:top w:val="nil"/>
                        </w:tcBorders>
                      </w:tcPr>
                      <w:p>
                        <w:pPr>
                          <w:rPr>
                            <w:sz w:val="2"/>
                            <w:szCs w:val="2"/>
                          </w:rPr>
                        </w:pPr>
                      </w:p>
                    </w:tc>
                    <w:tc>
                      <w:tcPr>
                        <w:tcW w:w="2038" w:type="dxa"/>
                        <w:gridSpan w:val="2"/>
                        <w:vMerge w:val="restart"/>
                      </w:tcPr>
                      <w:p>
                        <w:pPr>
                          <w:pStyle w:val="TableParagraph"/>
                          <w:rPr>
                            <w:sz w:val="16"/>
                          </w:rPr>
                        </w:pPr>
                      </w:p>
                      <w:p>
                        <w:pPr>
                          <w:pStyle w:val="TableParagraph"/>
                          <w:spacing w:before="113"/>
                          <w:ind w:left="19"/>
                          <w:rPr>
                            <w:sz w:val="16"/>
                          </w:rPr>
                        </w:pPr>
                        <w:r>
                          <w:rPr>
                            <w:sz w:val="16"/>
                          </w:rPr>
                          <w:t>2.项目总体目标</w:t>
                        </w:r>
                      </w:p>
                    </w:tc>
                    <w:tc>
                      <w:tcPr>
                        <w:tcW w:w="3660" w:type="dxa"/>
                        <w:gridSpan w:val="5"/>
                      </w:tcPr>
                      <w:p>
                        <w:pPr>
                          <w:pStyle w:val="TableParagraph"/>
                          <w:spacing w:line="184" w:lineRule="exact" w:before="56"/>
                          <w:ind w:left="18"/>
                          <w:rPr>
                            <w:sz w:val="16"/>
                          </w:rPr>
                        </w:pPr>
                        <w:r>
                          <w:rPr>
                            <w:sz w:val="16"/>
                          </w:rPr>
                          <w:t>项目预期总体目标</w:t>
                        </w:r>
                      </w:p>
                    </w:tc>
                    <w:tc>
                      <w:tcPr>
                        <w:tcW w:w="4418" w:type="dxa"/>
                        <w:gridSpan w:val="2"/>
                      </w:tcPr>
                      <w:p>
                        <w:pPr>
                          <w:pStyle w:val="TableParagraph"/>
                          <w:spacing w:line="184" w:lineRule="exact" w:before="56"/>
                          <w:ind w:left="1391"/>
                          <w:rPr>
                            <w:sz w:val="16"/>
                          </w:rPr>
                        </w:pPr>
                        <w:r>
                          <w:rPr>
                            <w:sz w:val="16"/>
                          </w:rPr>
                          <w:t>总体目标完成情况</w:t>
                        </w:r>
                      </w:p>
                    </w:tc>
                  </w:tr>
                  <w:tr>
                    <w:trPr>
                      <w:trHeight w:val="679" w:hRule="atLeast"/>
                    </w:trPr>
                    <w:tc>
                      <w:tcPr>
                        <w:tcW w:w="795" w:type="dxa"/>
                        <w:vMerge/>
                        <w:tcBorders>
                          <w:top w:val="nil"/>
                        </w:tcBorders>
                      </w:tcPr>
                      <w:p>
                        <w:pPr>
                          <w:rPr>
                            <w:sz w:val="2"/>
                            <w:szCs w:val="2"/>
                          </w:rPr>
                        </w:pPr>
                      </w:p>
                    </w:tc>
                    <w:tc>
                      <w:tcPr>
                        <w:tcW w:w="2038" w:type="dxa"/>
                        <w:gridSpan w:val="2"/>
                        <w:vMerge/>
                        <w:tcBorders>
                          <w:top w:val="nil"/>
                        </w:tcBorders>
                      </w:tcPr>
                      <w:p>
                        <w:pPr>
                          <w:rPr>
                            <w:sz w:val="2"/>
                            <w:szCs w:val="2"/>
                          </w:rPr>
                        </w:pPr>
                      </w:p>
                    </w:tc>
                    <w:tc>
                      <w:tcPr>
                        <w:tcW w:w="3660" w:type="dxa"/>
                        <w:gridSpan w:val="5"/>
                      </w:tcPr>
                      <w:p>
                        <w:pPr>
                          <w:pStyle w:val="TableParagraph"/>
                          <w:spacing w:before="57"/>
                          <w:ind w:left="18"/>
                          <w:rPr>
                            <w:sz w:val="16"/>
                          </w:rPr>
                        </w:pPr>
                        <w:r>
                          <w:rPr>
                            <w:sz w:val="16"/>
                          </w:rPr>
                          <w:t>专项用于 2019 年临聘教师劳务费</w:t>
                        </w:r>
                      </w:p>
                    </w:tc>
                    <w:tc>
                      <w:tcPr>
                        <w:tcW w:w="4418" w:type="dxa"/>
                        <w:gridSpan w:val="2"/>
                      </w:tcPr>
                      <w:p>
                        <w:pPr>
                          <w:pStyle w:val="TableParagraph"/>
                          <w:spacing w:before="57"/>
                          <w:ind w:left="18" w:right="-15"/>
                          <w:rPr>
                            <w:sz w:val="16"/>
                          </w:rPr>
                        </w:pPr>
                        <w:r>
                          <w:rPr>
                            <w:spacing w:val="-14"/>
                            <w:sz w:val="16"/>
                          </w:rPr>
                          <w:t>截至 </w:t>
                        </w:r>
                        <w:r>
                          <w:rPr>
                            <w:sz w:val="16"/>
                          </w:rPr>
                          <w:t>2019</w:t>
                        </w:r>
                        <w:r>
                          <w:rPr>
                            <w:spacing w:val="-26"/>
                            <w:sz w:val="16"/>
                          </w:rPr>
                          <w:t> 年 </w:t>
                        </w:r>
                        <w:r>
                          <w:rPr>
                            <w:sz w:val="16"/>
                          </w:rPr>
                          <w:t>12</w:t>
                        </w:r>
                        <w:r>
                          <w:rPr>
                            <w:spacing w:val="-28"/>
                            <w:sz w:val="16"/>
                          </w:rPr>
                          <w:t> 月 </w:t>
                        </w:r>
                        <w:r>
                          <w:rPr>
                            <w:sz w:val="16"/>
                          </w:rPr>
                          <w:t>31</w:t>
                        </w:r>
                        <w:r>
                          <w:rPr>
                            <w:spacing w:val="-8"/>
                            <w:sz w:val="16"/>
                          </w:rPr>
                          <w:t> 日，四川省成都市青苏职业中专学校严格按照项目进度，合理安排资金，保证了《运转补助》项目工作</w:t>
                        </w:r>
                      </w:p>
                      <w:p>
                        <w:pPr>
                          <w:pStyle w:val="TableParagraph"/>
                          <w:spacing w:line="186" w:lineRule="exact" w:before="6"/>
                          <w:ind w:left="18"/>
                          <w:rPr>
                            <w:sz w:val="16"/>
                          </w:rPr>
                        </w:pPr>
                        <w:r>
                          <w:rPr>
                            <w:sz w:val="16"/>
                          </w:rPr>
                          <w:t>按计划进行，现全年目标任务已全部完成。</w:t>
                        </w:r>
                      </w:p>
                    </w:tc>
                  </w:tr>
                  <w:tr>
                    <w:trPr>
                      <w:trHeight w:val="397" w:hRule="atLeast"/>
                    </w:trPr>
                    <w:tc>
                      <w:tcPr>
                        <w:tcW w:w="795" w:type="dxa"/>
                        <w:vMerge/>
                        <w:tcBorders>
                          <w:top w:val="nil"/>
                        </w:tcBorders>
                      </w:tcPr>
                      <w:p>
                        <w:pPr>
                          <w:rPr>
                            <w:sz w:val="2"/>
                            <w:szCs w:val="2"/>
                          </w:rPr>
                        </w:pPr>
                      </w:p>
                    </w:tc>
                    <w:tc>
                      <w:tcPr>
                        <w:tcW w:w="2038" w:type="dxa"/>
                        <w:gridSpan w:val="2"/>
                      </w:tcPr>
                      <w:p>
                        <w:pPr>
                          <w:pStyle w:val="TableParagraph"/>
                          <w:spacing w:before="4"/>
                          <w:ind w:left="4"/>
                          <w:rPr>
                            <w:sz w:val="16"/>
                          </w:rPr>
                        </w:pPr>
                        <w:r>
                          <w:rPr>
                            <w:sz w:val="16"/>
                          </w:rPr>
                          <w:t>3.项目实施内容及过程概述</w:t>
                        </w:r>
                      </w:p>
                    </w:tc>
                    <w:tc>
                      <w:tcPr>
                        <w:tcW w:w="8078" w:type="dxa"/>
                        <w:gridSpan w:val="7"/>
                      </w:tcPr>
                      <w:p>
                        <w:pPr>
                          <w:pStyle w:val="TableParagraph"/>
                          <w:spacing w:line="197" w:lineRule="exact" w:before="4"/>
                          <w:ind w:left="18"/>
                          <w:rPr>
                            <w:sz w:val="16"/>
                          </w:rPr>
                        </w:pPr>
                        <w:r>
                          <w:rPr>
                            <w:spacing w:val="-2"/>
                            <w:sz w:val="16"/>
                          </w:rPr>
                          <w:t>本项目经费主要用于支付临聘教师劳务费 </w:t>
                        </w:r>
                        <w:r>
                          <w:rPr>
                            <w:sz w:val="16"/>
                          </w:rPr>
                          <w:t>126.72</w:t>
                        </w:r>
                        <w:r>
                          <w:rPr>
                            <w:spacing w:val="-10"/>
                            <w:sz w:val="16"/>
                          </w:rPr>
                          <w:t> 万元，</w:t>
                        </w:r>
                        <w:r>
                          <w:rPr>
                            <w:sz w:val="16"/>
                          </w:rPr>
                          <w:t>2019</w:t>
                        </w:r>
                        <w:r>
                          <w:rPr>
                            <w:spacing w:val="-10"/>
                            <w:sz w:val="16"/>
                          </w:rPr>
                          <w:t> 年项目预算安排为 </w:t>
                        </w:r>
                        <w:r>
                          <w:rPr>
                            <w:sz w:val="16"/>
                          </w:rPr>
                          <w:t>126.72</w:t>
                        </w:r>
                        <w:r>
                          <w:rPr>
                            <w:spacing w:val="-6"/>
                            <w:sz w:val="16"/>
                          </w:rPr>
                          <w:t> 万元，全年无预算调整，</w:t>
                        </w:r>
                      </w:p>
                      <w:p>
                        <w:pPr>
                          <w:pStyle w:val="TableParagraph"/>
                          <w:spacing w:line="176" w:lineRule="exact"/>
                          <w:ind w:left="18"/>
                          <w:rPr>
                            <w:sz w:val="16"/>
                          </w:rPr>
                        </w:pPr>
                        <w:r>
                          <w:rPr>
                            <w:sz w:val="16"/>
                          </w:rPr>
                          <w:t>项目年终决算数 126.72 万元。</w:t>
                        </w:r>
                      </w:p>
                    </w:tc>
                  </w:tr>
                  <w:tr>
                    <w:trPr>
                      <w:trHeight w:val="225" w:hRule="atLeast"/>
                    </w:trPr>
                    <w:tc>
                      <w:tcPr>
                        <w:tcW w:w="795" w:type="dxa"/>
                        <w:vMerge/>
                        <w:tcBorders>
                          <w:top w:val="nil"/>
                        </w:tcBorders>
                      </w:tcPr>
                      <w:p>
                        <w:pPr>
                          <w:rPr>
                            <w:sz w:val="2"/>
                            <w:szCs w:val="2"/>
                          </w:rPr>
                        </w:pPr>
                      </w:p>
                    </w:tc>
                    <w:tc>
                      <w:tcPr>
                        <w:tcW w:w="10116" w:type="dxa"/>
                        <w:gridSpan w:val="9"/>
                      </w:tcPr>
                      <w:p>
                        <w:pPr>
                          <w:pStyle w:val="TableParagraph"/>
                          <w:spacing w:line="203" w:lineRule="exact" w:before="2"/>
                          <w:ind w:left="19"/>
                          <w:rPr>
                            <w:sz w:val="16"/>
                          </w:rPr>
                        </w:pPr>
                        <w:r>
                          <w:rPr>
                            <w:sz w:val="16"/>
                          </w:rPr>
                          <w:t>4.预算执行情况（万元）</w:t>
                        </w:r>
                      </w:p>
                    </w:tc>
                  </w:tr>
                  <w:tr>
                    <w:trPr>
                      <w:trHeight w:val="207" w:hRule="atLeast"/>
                    </w:trPr>
                    <w:tc>
                      <w:tcPr>
                        <w:tcW w:w="795" w:type="dxa"/>
                        <w:vMerge/>
                        <w:tcBorders>
                          <w:top w:val="nil"/>
                        </w:tcBorders>
                      </w:tcPr>
                      <w:p>
                        <w:pPr>
                          <w:rPr>
                            <w:sz w:val="2"/>
                            <w:szCs w:val="2"/>
                          </w:rPr>
                        </w:pPr>
                      </w:p>
                    </w:tc>
                    <w:tc>
                      <w:tcPr>
                        <w:tcW w:w="1100" w:type="dxa"/>
                      </w:tcPr>
                      <w:p>
                        <w:pPr>
                          <w:pStyle w:val="TableParagraph"/>
                          <w:spacing w:line="188" w:lineRule="exact"/>
                          <w:ind w:left="19"/>
                          <w:rPr>
                            <w:sz w:val="16"/>
                          </w:rPr>
                        </w:pPr>
                        <w:r>
                          <w:rPr>
                            <w:sz w:val="16"/>
                          </w:rPr>
                          <w:t>年度预算数</w:t>
                        </w:r>
                      </w:p>
                    </w:tc>
                    <w:tc>
                      <w:tcPr>
                        <w:tcW w:w="938" w:type="dxa"/>
                      </w:tcPr>
                      <w:p>
                        <w:pPr>
                          <w:pStyle w:val="TableParagraph"/>
                          <w:spacing w:line="188" w:lineRule="exact"/>
                          <w:ind w:left="18"/>
                          <w:rPr>
                            <w:sz w:val="16"/>
                          </w:rPr>
                        </w:pPr>
                        <w:r>
                          <w:rPr>
                            <w:sz w:val="16"/>
                          </w:rPr>
                          <w:t>年初预算数</w:t>
                        </w:r>
                      </w:p>
                    </w:tc>
                    <w:tc>
                      <w:tcPr>
                        <w:tcW w:w="1023" w:type="dxa"/>
                      </w:tcPr>
                      <w:p>
                        <w:pPr>
                          <w:pStyle w:val="TableParagraph"/>
                          <w:spacing w:line="188" w:lineRule="exact"/>
                          <w:ind w:left="18"/>
                          <w:rPr>
                            <w:sz w:val="16"/>
                          </w:rPr>
                        </w:pPr>
                        <w:r>
                          <w:rPr>
                            <w:sz w:val="16"/>
                          </w:rPr>
                          <w:t>预算调整数</w:t>
                        </w:r>
                      </w:p>
                    </w:tc>
                    <w:tc>
                      <w:tcPr>
                        <w:tcW w:w="866" w:type="dxa"/>
                      </w:tcPr>
                      <w:p>
                        <w:pPr>
                          <w:pStyle w:val="TableParagraph"/>
                          <w:spacing w:line="188" w:lineRule="exact"/>
                          <w:ind w:right="15"/>
                          <w:jc w:val="center"/>
                          <w:rPr>
                            <w:sz w:val="16"/>
                          </w:rPr>
                        </w:pPr>
                        <w:r>
                          <w:rPr>
                            <w:sz w:val="16"/>
                          </w:rPr>
                          <w:t>预算执行数</w:t>
                        </w:r>
                      </w:p>
                    </w:tc>
                    <w:tc>
                      <w:tcPr>
                        <w:tcW w:w="6189" w:type="dxa"/>
                        <w:gridSpan w:val="5"/>
                        <w:vMerge w:val="restart"/>
                      </w:tcPr>
                      <w:p>
                        <w:pPr>
                          <w:pStyle w:val="TableParagraph"/>
                          <w:ind w:left="18"/>
                          <w:rPr>
                            <w:sz w:val="16"/>
                          </w:rPr>
                        </w:pPr>
                        <w:r>
                          <w:rPr>
                            <w:spacing w:val="-7"/>
                            <w:sz w:val="16"/>
                          </w:rPr>
                          <w:t>预算执行率未达到 </w:t>
                        </w:r>
                        <w:r>
                          <w:rPr>
                            <w:sz w:val="16"/>
                          </w:rPr>
                          <w:t>90%</w:t>
                        </w:r>
                        <w:r>
                          <w:rPr>
                            <w:spacing w:val="-10"/>
                            <w:sz w:val="16"/>
                          </w:rPr>
                          <w:t>的需说明原因，其中，预算调整的理由应单独说明。</w:t>
                        </w:r>
                        <w:r>
                          <w:rPr>
                            <w:sz w:val="16"/>
                          </w:rPr>
                          <w:t>（100</w:t>
                        </w:r>
                        <w:r>
                          <w:rPr>
                            <w:spacing w:val="-12"/>
                            <w:sz w:val="16"/>
                          </w:rPr>
                          <w:t> 字以内</w:t>
                        </w:r>
                      </w:p>
                    </w:tc>
                  </w:tr>
                  <w:tr>
                    <w:trPr>
                      <w:trHeight w:val="207" w:hRule="atLeast"/>
                    </w:trPr>
                    <w:tc>
                      <w:tcPr>
                        <w:tcW w:w="795" w:type="dxa"/>
                        <w:vMerge/>
                        <w:tcBorders>
                          <w:top w:val="nil"/>
                        </w:tcBorders>
                      </w:tcPr>
                      <w:p>
                        <w:pPr>
                          <w:rPr>
                            <w:sz w:val="2"/>
                            <w:szCs w:val="2"/>
                          </w:rPr>
                        </w:pPr>
                      </w:p>
                    </w:tc>
                    <w:tc>
                      <w:tcPr>
                        <w:tcW w:w="1100" w:type="dxa"/>
                      </w:tcPr>
                      <w:p>
                        <w:pPr>
                          <w:pStyle w:val="TableParagraph"/>
                          <w:spacing w:line="187" w:lineRule="exact"/>
                          <w:ind w:left="19"/>
                          <w:rPr>
                            <w:sz w:val="16"/>
                          </w:rPr>
                        </w:pPr>
                        <w:r>
                          <w:rPr>
                            <w:sz w:val="16"/>
                          </w:rPr>
                          <w:t>总额</w:t>
                        </w:r>
                      </w:p>
                    </w:tc>
                    <w:tc>
                      <w:tcPr>
                        <w:tcW w:w="938" w:type="dxa"/>
                      </w:tcPr>
                      <w:p>
                        <w:pPr>
                          <w:pStyle w:val="TableParagraph"/>
                          <w:spacing w:line="187" w:lineRule="exact"/>
                          <w:ind w:left="236"/>
                          <w:rPr>
                            <w:sz w:val="16"/>
                          </w:rPr>
                        </w:pPr>
                        <w:r>
                          <w:rPr>
                            <w:sz w:val="16"/>
                          </w:rPr>
                          <w:t>126.72</w:t>
                        </w:r>
                      </w:p>
                    </w:tc>
                    <w:tc>
                      <w:tcPr>
                        <w:tcW w:w="1023" w:type="dxa"/>
                      </w:tcPr>
                      <w:p>
                        <w:pPr>
                          <w:pStyle w:val="TableParagraph"/>
                          <w:rPr>
                            <w:rFonts w:ascii="Times New Roman"/>
                            <w:sz w:val="12"/>
                          </w:rPr>
                        </w:pPr>
                      </w:p>
                    </w:tc>
                    <w:tc>
                      <w:tcPr>
                        <w:tcW w:w="866" w:type="dxa"/>
                      </w:tcPr>
                      <w:p>
                        <w:pPr>
                          <w:pStyle w:val="TableParagraph"/>
                          <w:spacing w:line="187" w:lineRule="exact"/>
                          <w:ind w:left="41" w:right="15"/>
                          <w:jc w:val="center"/>
                          <w:rPr>
                            <w:sz w:val="16"/>
                          </w:rPr>
                        </w:pPr>
                        <w:r>
                          <w:rPr>
                            <w:sz w:val="16"/>
                          </w:rPr>
                          <w:t>126.72</w:t>
                        </w:r>
                      </w:p>
                    </w:tc>
                    <w:tc>
                      <w:tcPr>
                        <w:tcW w:w="6189" w:type="dxa"/>
                        <w:gridSpan w:val="5"/>
                        <w:vMerge/>
                        <w:tcBorders>
                          <w:top w:val="nil"/>
                        </w:tcBorders>
                      </w:tcPr>
                      <w:p>
                        <w:pPr>
                          <w:rPr>
                            <w:sz w:val="2"/>
                            <w:szCs w:val="2"/>
                          </w:rPr>
                        </w:pPr>
                      </w:p>
                    </w:tc>
                  </w:tr>
                  <w:tr>
                    <w:trPr>
                      <w:trHeight w:val="207" w:hRule="atLeast"/>
                    </w:trPr>
                    <w:tc>
                      <w:tcPr>
                        <w:tcW w:w="795" w:type="dxa"/>
                        <w:vMerge/>
                        <w:tcBorders>
                          <w:top w:val="nil"/>
                        </w:tcBorders>
                      </w:tcPr>
                      <w:p>
                        <w:pPr>
                          <w:rPr>
                            <w:sz w:val="2"/>
                            <w:szCs w:val="2"/>
                          </w:rPr>
                        </w:pPr>
                      </w:p>
                    </w:tc>
                    <w:tc>
                      <w:tcPr>
                        <w:tcW w:w="1100" w:type="dxa"/>
                      </w:tcPr>
                      <w:p>
                        <w:pPr>
                          <w:pStyle w:val="TableParagraph"/>
                          <w:spacing w:line="186" w:lineRule="exact" w:before="2"/>
                          <w:ind w:left="19" w:right="-15"/>
                          <w:rPr>
                            <w:sz w:val="16"/>
                          </w:rPr>
                        </w:pPr>
                        <w:r>
                          <w:rPr>
                            <w:spacing w:val="-9"/>
                            <w:sz w:val="16"/>
                          </w:rPr>
                          <w:t>其中：财政拨款</w:t>
                        </w:r>
                      </w:p>
                    </w:tc>
                    <w:tc>
                      <w:tcPr>
                        <w:tcW w:w="938" w:type="dxa"/>
                      </w:tcPr>
                      <w:p>
                        <w:pPr>
                          <w:pStyle w:val="TableParagraph"/>
                          <w:spacing w:line="186" w:lineRule="exact" w:before="2"/>
                          <w:ind w:left="236"/>
                          <w:rPr>
                            <w:sz w:val="16"/>
                          </w:rPr>
                        </w:pPr>
                        <w:r>
                          <w:rPr>
                            <w:sz w:val="16"/>
                          </w:rPr>
                          <w:t>126.72</w:t>
                        </w:r>
                      </w:p>
                    </w:tc>
                    <w:tc>
                      <w:tcPr>
                        <w:tcW w:w="1023" w:type="dxa"/>
                      </w:tcPr>
                      <w:p>
                        <w:pPr>
                          <w:pStyle w:val="TableParagraph"/>
                          <w:rPr>
                            <w:rFonts w:ascii="Times New Roman"/>
                            <w:sz w:val="12"/>
                          </w:rPr>
                        </w:pPr>
                      </w:p>
                    </w:tc>
                    <w:tc>
                      <w:tcPr>
                        <w:tcW w:w="866" w:type="dxa"/>
                      </w:tcPr>
                      <w:p>
                        <w:pPr>
                          <w:pStyle w:val="TableParagraph"/>
                          <w:spacing w:line="186" w:lineRule="exact" w:before="2"/>
                          <w:ind w:left="41" w:right="15"/>
                          <w:jc w:val="center"/>
                          <w:rPr>
                            <w:sz w:val="16"/>
                          </w:rPr>
                        </w:pPr>
                        <w:r>
                          <w:rPr>
                            <w:sz w:val="16"/>
                          </w:rPr>
                          <w:t>126.72</w:t>
                        </w:r>
                      </w:p>
                    </w:tc>
                    <w:tc>
                      <w:tcPr>
                        <w:tcW w:w="6189" w:type="dxa"/>
                        <w:gridSpan w:val="5"/>
                        <w:vMerge/>
                        <w:tcBorders>
                          <w:top w:val="nil"/>
                        </w:tcBorders>
                      </w:tcPr>
                      <w:p>
                        <w:pPr>
                          <w:rPr>
                            <w:sz w:val="2"/>
                            <w:szCs w:val="2"/>
                          </w:rPr>
                        </w:pPr>
                      </w:p>
                    </w:tc>
                  </w:tr>
                  <w:tr>
                    <w:trPr>
                      <w:trHeight w:val="207" w:hRule="atLeast"/>
                    </w:trPr>
                    <w:tc>
                      <w:tcPr>
                        <w:tcW w:w="795" w:type="dxa"/>
                        <w:vMerge/>
                        <w:tcBorders>
                          <w:top w:val="nil"/>
                        </w:tcBorders>
                      </w:tcPr>
                      <w:p>
                        <w:pPr>
                          <w:rPr>
                            <w:sz w:val="2"/>
                            <w:szCs w:val="2"/>
                          </w:rPr>
                        </w:pPr>
                      </w:p>
                    </w:tc>
                    <w:tc>
                      <w:tcPr>
                        <w:tcW w:w="1100" w:type="dxa"/>
                      </w:tcPr>
                      <w:p>
                        <w:pPr>
                          <w:pStyle w:val="TableParagraph"/>
                          <w:spacing w:line="187" w:lineRule="exact"/>
                          <w:ind w:left="19"/>
                          <w:rPr>
                            <w:sz w:val="16"/>
                          </w:rPr>
                        </w:pPr>
                        <w:r>
                          <w:rPr>
                            <w:sz w:val="16"/>
                          </w:rPr>
                          <w:t>其他资金</w:t>
                        </w:r>
                      </w:p>
                    </w:tc>
                    <w:tc>
                      <w:tcPr>
                        <w:tcW w:w="938" w:type="dxa"/>
                      </w:tcPr>
                      <w:p>
                        <w:pPr>
                          <w:pStyle w:val="TableParagraph"/>
                          <w:rPr>
                            <w:rFonts w:ascii="Times New Roman"/>
                            <w:sz w:val="12"/>
                          </w:rPr>
                        </w:pP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6189" w:type="dxa"/>
                        <w:gridSpan w:val="5"/>
                        <w:vMerge/>
                        <w:tcBorders>
                          <w:top w:val="nil"/>
                        </w:tcBorders>
                      </w:tcPr>
                      <w:p>
                        <w:pPr>
                          <w:rPr>
                            <w:sz w:val="2"/>
                            <w:szCs w:val="2"/>
                          </w:rPr>
                        </w:pPr>
                      </w:p>
                    </w:tc>
                  </w:tr>
                  <w:tr>
                    <w:trPr>
                      <w:trHeight w:val="416" w:hRule="atLeast"/>
                    </w:trPr>
                    <w:tc>
                      <w:tcPr>
                        <w:tcW w:w="795" w:type="dxa"/>
                      </w:tcPr>
                      <w:p>
                        <w:pPr>
                          <w:pStyle w:val="TableParagraph"/>
                          <w:spacing w:before="3"/>
                          <w:ind w:left="5"/>
                          <w:rPr>
                            <w:b/>
                            <w:sz w:val="16"/>
                          </w:rPr>
                        </w:pPr>
                        <w:r>
                          <w:rPr>
                            <w:b/>
                            <w:sz w:val="16"/>
                          </w:rPr>
                          <w:t>一级指标</w:t>
                        </w:r>
                      </w:p>
                    </w:tc>
                    <w:tc>
                      <w:tcPr>
                        <w:tcW w:w="1100" w:type="dxa"/>
                      </w:tcPr>
                      <w:p>
                        <w:pPr>
                          <w:pStyle w:val="TableParagraph"/>
                          <w:spacing w:before="3"/>
                          <w:ind w:left="230"/>
                          <w:rPr>
                            <w:b/>
                            <w:sz w:val="16"/>
                          </w:rPr>
                        </w:pPr>
                        <w:r>
                          <w:rPr>
                            <w:b/>
                            <w:sz w:val="16"/>
                          </w:rPr>
                          <w:t>二级指标</w:t>
                        </w:r>
                      </w:p>
                    </w:tc>
                    <w:tc>
                      <w:tcPr>
                        <w:tcW w:w="938" w:type="dxa"/>
                      </w:tcPr>
                      <w:p>
                        <w:pPr>
                          <w:pStyle w:val="TableParagraph"/>
                          <w:spacing w:before="3"/>
                          <w:ind w:left="150"/>
                          <w:rPr>
                            <w:b/>
                            <w:sz w:val="16"/>
                          </w:rPr>
                        </w:pPr>
                        <w:r>
                          <w:rPr>
                            <w:b/>
                            <w:sz w:val="16"/>
                          </w:rPr>
                          <w:t>三级指标</w:t>
                        </w:r>
                      </w:p>
                    </w:tc>
                    <w:tc>
                      <w:tcPr>
                        <w:tcW w:w="1023" w:type="dxa"/>
                      </w:tcPr>
                      <w:p>
                        <w:pPr>
                          <w:pStyle w:val="TableParagraph"/>
                          <w:spacing w:before="3"/>
                          <w:ind w:left="191"/>
                          <w:rPr>
                            <w:b/>
                            <w:sz w:val="16"/>
                          </w:rPr>
                        </w:pPr>
                        <w:r>
                          <w:rPr>
                            <w:b/>
                            <w:sz w:val="16"/>
                          </w:rPr>
                          <w:t>指标名称</w:t>
                        </w:r>
                      </w:p>
                    </w:tc>
                    <w:tc>
                      <w:tcPr>
                        <w:tcW w:w="866" w:type="dxa"/>
                      </w:tcPr>
                      <w:p>
                        <w:pPr>
                          <w:pStyle w:val="TableParagraph"/>
                          <w:spacing w:before="3"/>
                          <w:ind w:left="28" w:right="15"/>
                          <w:jc w:val="center"/>
                          <w:rPr>
                            <w:b/>
                            <w:sz w:val="16"/>
                          </w:rPr>
                        </w:pPr>
                        <w:r>
                          <w:rPr>
                            <w:b/>
                            <w:sz w:val="16"/>
                          </w:rPr>
                          <w:t>预期值</w:t>
                        </w:r>
                      </w:p>
                    </w:tc>
                    <w:tc>
                      <w:tcPr>
                        <w:tcW w:w="734" w:type="dxa"/>
                      </w:tcPr>
                      <w:p>
                        <w:pPr>
                          <w:pStyle w:val="TableParagraph"/>
                          <w:spacing w:before="3"/>
                          <w:ind w:right="201"/>
                          <w:jc w:val="right"/>
                          <w:rPr>
                            <w:b/>
                            <w:sz w:val="16"/>
                          </w:rPr>
                        </w:pPr>
                        <w:r>
                          <w:rPr>
                            <w:b/>
                            <w:sz w:val="16"/>
                          </w:rPr>
                          <w:t>完成值</w:t>
                        </w:r>
                      </w:p>
                    </w:tc>
                    <w:tc>
                      <w:tcPr>
                        <w:tcW w:w="655" w:type="dxa"/>
                      </w:tcPr>
                      <w:p>
                        <w:pPr>
                          <w:pStyle w:val="TableParagraph"/>
                          <w:spacing w:before="3"/>
                          <w:ind w:left="147" w:right="135"/>
                          <w:jc w:val="center"/>
                          <w:rPr>
                            <w:b/>
                            <w:sz w:val="16"/>
                          </w:rPr>
                        </w:pPr>
                        <w:r>
                          <w:rPr>
                            <w:b/>
                            <w:sz w:val="16"/>
                          </w:rPr>
                          <w:t>分值</w:t>
                        </w:r>
                      </w:p>
                    </w:tc>
                    <w:tc>
                      <w:tcPr>
                        <w:tcW w:w="382" w:type="dxa"/>
                      </w:tcPr>
                      <w:p>
                        <w:pPr>
                          <w:pStyle w:val="TableParagraph"/>
                          <w:spacing w:line="200" w:lineRule="atLeast" w:before="3"/>
                          <w:ind w:left="112" w:right="96"/>
                          <w:rPr>
                            <w:b/>
                            <w:sz w:val="16"/>
                          </w:rPr>
                        </w:pPr>
                        <w:r>
                          <w:rPr>
                            <w:b/>
                            <w:sz w:val="16"/>
                          </w:rPr>
                          <w:t>得分</w:t>
                        </w:r>
                      </w:p>
                    </w:tc>
                    <w:tc>
                      <w:tcPr>
                        <w:tcW w:w="2369" w:type="dxa"/>
                      </w:tcPr>
                      <w:p>
                        <w:pPr>
                          <w:pStyle w:val="TableParagraph"/>
                          <w:spacing w:before="3"/>
                          <w:ind w:left="70" w:right="54"/>
                          <w:jc w:val="center"/>
                          <w:rPr>
                            <w:b/>
                            <w:sz w:val="16"/>
                          </w:rPr>
                        </w:pPr>
                        <w:r>
                          <w:rPr>
                            <w:b/>
                            <w:sz w:val="16"/>
                          </w:rPr>
                          <w:t>指标评价内容及标准</w:t>
                        </w:r>
                      </w:p>
                    </w:tc>
                    <w:tc>
                      <w:tcPr>
                        <w:tcW w:w="2049" w:type="dxa"/>
                      </w:tcPr>
                      <w:p>
                        <w:pPr>
                          <w:pStyle w:val="TableParagraph"/>
                          <w:spacing w:before="3"/>
                          <w:ind w:left="464"/>
                          <w:rPr>
                            <w:b/>
                            <w:sz w:val="16"/>
                          </w:rPr>
                        </w:pPr>
                        <w:r>
                          <w:rPr>
                            <w:b/>
                            <w:sz w:val="16"/>
                          </w:rPr>
                          <w:t>未完成原因分析</w:t>
                        </w:r>
                      </w:p>
                    </w:tc>
                  </w:tr>
                  <w:tr>
                    <w:trPr>
                      <w:trHeight w:val="675" w:hRule="atLeast"/>
                    </w:trPr>
                    <w:tc>
                      <w:tcPr>
                        <w:tcW w:w="795" w:type="dxa"/>
                      </w:tcPr>
                      <w:p>
                        <w:pPr>
                          <w:pStyle w:val="TableParagraph"/>
                          <w:rPr>
                            <w:sz w:val="12"/>
                          </w:rPr>
                        </w:pPr>
                      </w:p>
                      <w:p>
                        <w:pPr>
                          <w:pStyle w:val="TableParagraph"/>
                          <w:spacing w:line="161" w:lineRule="exact" w:before="93"/>
                          <w:ind w:left="50"/>
                          <w:rPr>
                            <w:sz w:val="13"/>
                          </w:rPr>
                        </w:pPr>
                        <w:r>
                          <w:rPr>
                            <w:spacing w:val="-13"/>
                            <w:w w:val="95"/>
                            <w:sz w:val="13"/>
                          </w:rPr>
                          <w:t>管理指标</w:t>
                        </w:r>
                      </w:p>
                      <w:p>
                        <w:pPr>
                          <w:pStyle w:val="TableParagraph"/>
                          <w:spacing w:line="161" w:lineRule="exact"/>
                          <w:ind w:left="5"/>
                          <w:rPr>
                            <w:sz w:val="13"/>
                          </w:rPr>
                        </w:pPr>
                        <w:r>
                          <w:rPr>
                            <w:w w:val="95"/>
                            <w:sz w:val="13"/>
                          </w:rPr>
                          <w:t>（30</w:t>
                        </w:r>
                        <w:r>
                          <w:rPr>
                            <w:spacing w:val="-12"/>
                            <w:w w:val="95"/>
                            <w:sz w:val="13"/>
                          </w:rPr>
                          <w:t> 分</w:t>
                        </w:r>
                        <w:r>
                          <w:rPr>
                            <w:w w:val="95"/>
                            <w:sz w:val="13"/>
                          </w:rPr>
                          <w:t>）</w:t>
                        </w:r>
                      </w:p>
                    </w:tc>
                    <w:tc>
                      <w:tcPr>
                        <w:tcW w:w="1100" w:type="dxa"/>
                      </w:tcPr>
                      <w:p>
                        <w:pPr>
                          <w:pStyle w:val="TableParagraph"/>
                          <w:rPr>
                            <w:sz w:val="12"/>
                          </w:rPr>
                        </w:pPr>
                      </w:p>
                      <w:p>
                        <w:pPr>
                          <w:pStyle w:val="TableParagraph"/>
                          <w:spacing w:before="9"/>
                          <w:rPr>
                            <w:sz w:val="12"/>
                          </w:rPr>
                        </w:pPr>
                      </w:p>
                      <w:p>
                        <w:pPr>
                          <w:pStyle w:val="TableParagraph"/>
                          <w:ind w:left="4" w:right="-29"/>
                          <w:rPr>
                            <w:sz w:val="13"/>
                          </w:rPr>
                        </w:pPr>
                        <w:r>
                          <w:rPr>
                            <w:sz w:val="13"/>
                          </w:rPr>
                          <w:t>投入管理（30</w:t>
                        </w:r>
                        <w:r>
                          <w:rPr>
                            <w:spacing w:val="-3"/>
                            <w:sz w:val="13"/>
                          </w:rPr>
                          <w:t> 分</w:t>
                        </w:r>
                        <w:r>
                          <w:rPr>
                            <w:sz w:val="13"/>
                          </w:rPr>
                          <w:t>）</w:t>
                        </w:r>
                      </w:p>
                    </w:tc>
                    <w:tc>
                      <w:tcPr>
                        <w:tcW w:w="938" w:type="dxa"/>
                      </w:tcPr>
                      <w:p>
                        <w:pPr>
                          <w:pStyle w:val="TableParagraph"/>
                          <w:rPr>
                            <w:sz w:val="12"/>
                          </w:rPr>
                        </w:pPr>
                      </w:p>
                      <w:p>
                        <w:pPr>
                          <w:pStyle w:val="TableParagraph"/>
                          <w:spacing w:before="5"/>
                          <w:rPr>
                            <w:sz w:val="14"/>
                          </w:rPr>
                        </w:pPr>
                      </w:p>
                      <w:p>
                        <w:pPr>
                          <w:pStyle w:val="TableParagraph"/>
                          <w:ind w:left="78"/>
                          <w:rPr>
                            <w:sz w:val="13"/>
                          </w:rPr>
                        </w:pPr>
                        <w:r>
                          <w:rPr>
                            <w:sz w:val="13"/>
                          </w:rPr>
                          <w:t>预算执行情况</w:t>
                        </w:r>
                      </w:p>
                    </w:tc>
                    <w:tc>
                      <w:tcPr>
                        <w:tcW w:w="1023" w:type="dxa"/>
                      </w:tcPr>
                      <w:p>
                        <w:pPr>
                          <w:pStyle w:val="TableParagraph"/>
                          <w:rPr>
                            <w:sz w:val="12"/>
                          </w:rPr>
                        </w:pPr>
                      </w:p>
                      <w:p>
                        <w:pPr>
                          <w:pStyle w:val="TableParagraph"/>
                          <w:spacing w:before="5"/>
                          <w:rPr>
                            <w:sz w:val="14"/>
                          </w:rPr>
                        </w:pPr>
                      </w:p>
                      <w:p>
                        <w:pPr>
                          <w:pStyle w:val="TableParagraph"/>
                          <w:ind w:left="184"/>
                          <w:rPr>
                            <w:sz w:val="13"/>
                          </w:rPr>
                        </w:pPr>
                        <w:r>
                          <w:rPr>
                            <w:sz w:val="13"/>
                          </w:rPr>
                          <w:t>预算执行率</w:t>
                        </w:r>
                      </w:p>
                    </w:tc>
                    <w:tc>
                      <w:tcPr>
                        <w:tcW w:w="866" w:type="dxa"/>
                      </w:tcPr>
                      <w:p>
                        <w:pPr>
                          <w:pStyle w:val="TableParagraph"/>
                          <w:rPr>
                            <w:sz w:val="12"/>
                          </w:rPr>
                        </w:pPr>
                      </w:p>
                      <w:p>
                        <w:pPr>
                          <w:pStyle w:val="TableParagraph"/>
                          <w:spacing w:before="5"/>
                          <w:rPr>
                            <w:sz w:val="14"/>
                          </w:rPr>
                        </w:pPr>
                      </w:p>
                      <w:p>
                        <w:pPr>
                          <w:pStyle w:val="TableParagraph"/>
                          <w:ind w:right="25"/>
                          <w:jc w:val="center"/>
                          <w:rPr>
                            <w:sz w:val="13"/>
                          </w:rPr>
                        </w:pPr>
                        <w:r>
                          <w:rPr>
                            <w:sz w:val="13"/>
                          </w:rPr>
                          <w:t>100%</w:t>
                        </w:r>
                      </w:p>
                    </w:tc>
                    <w:tc>
                      <w:tcPr>
                        <w:tcW w:w="734" w:type="dxa"/>
                      </w:tcPr>
                      <w:p>
                        <w:pPr>
                          <w:pStyle w:val="TableParagraph"/>
                          <w:rPr>
                            <w:sz w:val="12"/>
                          </w:rPr>
                        </w:pPr>
                      </w:p>
                      <w:p>
                        <w:pPr>
                          <w:pStyle w:val="TableParagraph"/>
                          <w:spacing w:before="5"/>
                          <w:rPr>
                            <w:sz w:val="14"/>
                          </w:rPr>
                        </w:pPr>
                      </w:p>
                      <w:p>
                        <w:pPr>
                          <w:pStyle w:val="TableParagraph"/>
                          <w:ind w:right="242"/>
                          <w:jc w:val="right"/>
                          <w:rPr>
                            <w:sz w:val="13"/>
                          </w:rPr>
                        </w:pPr>
                        <w:r>
                          <w:rPr>
                            <w:sz w:val="13"/>
                          </w:rPr>
                          <w:t>100%</w:t>
                        </w:r>
                      </w:p>
                    </w:tc>
                    <w:tc>
                      <w:tcPr>
                        <w:tcW w:w="655" w:type="dxa"/>
                      </w:tcPr>
                      <w:p>
                        <w:pPr>
                          <w:pStyle w:val="TableParagraph"/>
                          <w:rPr>
                            <w:sz w:val="12"/>
                          </w:rPr>
                        </w:pPr>
                      </w:p>
                      <w:p>
                        <w:pPr>
                          <w:pStyle w:val="TableParagraph"/>
                          <w:spacing w:before="5"/>
                          <w:rPr>
                            <w:sz w:val="14"/>
                          </w:rPr>
                        </w:pPr>
                      </w:p>
                      <w:p>
                        <w:pPr>
                          <w:pStyle w:val="TableParagraph"/>
                          <w:ind w:left="142" w:right="135"/>
                          <w:jc w:val="center"/>
                          <w:rPr>
                            <w:sz w:val="13"/>
                          </w:rPr>
                        </w:pPr>
                        <w:r>
                          <w:rPr>
                            <w:sz w:val="13"/>
                          </w:rPr>
                          <w:t>30</w:t>
                        </w:r>
                      </w:p>
                    </w:tc>
                    <w:tc>
                      <w:tcPr>
                        <w:tcW w:w="382" w:type="dxa"/>
                      </w:tcPr>
                      <w:p>
                        <w:pPr>
                          <w:pStyle w:val="TableParagraph"/>
                          <w:rPr>
                            <w:sz w:val="12"/>
                          </w:rPr>
                        </w:pPr>
                      </w:p>
                      <w:p>
                        <w:pPr>
                          <w:pStyle w:val="TableParagraph"/>
                          <w:spacing w:before="5"/>
                          <w:rPr>
                            <w:sz w:val="14"/>
                          </w:rPr>
                        </w:pPr>
                      </w:p>
                      <w:p>
                        <w:pPr>
                          <w:pStyle w:val="TableParagraph"/>
                          <w:ind w:right="115"/>
                          <w:jc w:val="right"/>
                          <w:rPr>
                            <w:sz w:val="13"/>
                          </w:rPr>
                        </w:pPr>
                        <w:r>
                          <w:rPr>
                            <w:sz w:val="13"/>
                          </w:rPr>
                          <w:t>30</w:t>
                        </w:r>
                      </w:p>
                    </w:tc>
                    <w:tc>
                      <w:tcPr>
                        <w:tcW w:w="2369" w:type="dxa"/>
                      </w:tcPr>
                      <w:p>
                        <w:pPr>
                          <w:pStyle w:val="TableParagraph"/>
                          <w:ind w:left="9"/>
                          <w:rPr>
                            <w:sz w:val="13"/>
                          </w:rPr>
                        </w:pPr>
                        <w:r>
                          <w:rPr>
                            <w:sz w:val="13"/>
                          </w:rPr>
                          <w:t>预算执行率=实际拨付金额/预算安</w:t>
                        </w:r>
                      </w:p>
                      <w:p>
                        <w:pPr>
                          <w:pStyle w:val="TableParagraph"/>
                          <w:spacing w:before="1"/>
                          <w:ind w:left="9"/>
                          <w:rPr>
                            <w:sz w:val="13"/>
                          </w:rPr>
                        </w:pPr>
                        <w:r>
                          <w:rPr>
                            <w:sz w:val="13"/>
                          </w:rPr>
                          <w:t>排资金总额×100%。（预算数一般采用年</w:t>
                        </w:r>
                      </w:p>
                      <w:p>
                        <w:pPr>
                          <w:pStyle w:val="TableParagraph"/>
                          <w:spacing w:line="160" w:lineRule="atLeast" w:before="4"/>
                          <w:ind w:left="9" w:right="7"/>
                          <w:rPr>
                            <w:sz w:val="13"/>
                          </w:rPr>
                        </w:pPr>
                        <w:r>
                          <w:rPr>
                            <w:sz w:val="13"/>
                          </w:rPr>
                          <w:t>初预算数，如存在政策变化等因素可采用调整预算数）。得分=分值×预算执行率</w:t>
                        </w:r>
                      </w:p>
                    </w:tc>
                    <w:tc>
                      <w:tcPr>
                        <w:tcW w:w="2049" w:type="dxa"/>
                      </w:tcPr>
                      <w:p>
                        <w:pPr>
                          <w:pStyle w:val="TableParagraph"/>
                          <w:rPr>
                            <w:rFonts w:ascii="Times New Roman"/>
                            <w:sz w:val="12"/>
                          </w:rPr>
                        </w:pPr>
                      </w:p>
                    </w:tc>
                  </w:tr>
                  <w:tr>
                    <w:trPr>
                      <w:trHeight w:val="505" w:hRule="atLeast"/>
                    </w:trPr>
                    <w:tc>
                      <w:tcPr>
                        <w:tcW w:w="795"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
                          <w:rPr>
                            <w:sz w:val="9"/>
                          </w:rPr>
                        </w:pPr>
                      </w:p>
                      <w:p>
                        <w:pPr>
                          <w:pStyle w:val="TableParagraph"/>
                          <w:spacing w:before="1"/>
                          <w:ind w:left="50"/>
                          <w:rPr>
                            <w:sz w:val="13"/>
                          </w:rPr>
                        </w:pPr>
                        <w:r>
                          <w:rPr>
                            <w:spacing w:val="-15"/>
                            <w:sz w:val="13"/>
                          </w:rPr>
                          <w:t>效果指标</w:t>
                        </w:r>
                      </w:p>
                      <w:p>
                        <w:pPr>
                          <w:pStyle w:val="TableParagraph"/>
                          <w:spacing w:before="37"/>
                          <w:ind w:left="50"/>
                          <w:rPr>
                            <w:sz w:val="13"/>
                          </w:rPr>
                        </w:pPr>
                        <w:r>
                          <w:rPr>
                            <w:spacing w:val="-8"/>
                            <w:sz w:val="13"/>
                          </w:rPr>
                          <w:t>（70</w:t>
                        </w:r>
                        <w:r>
                          <w:rPr>
                            <w:spacing w:val="-34"/>
                            <w:sz w:val="13"/>
                          </w:rPr>
                          <w:t> 分</w:t>
                        </w:r>
                        <w:r>
                          <w:rPr>
                            <w:sz w:val="13"/>
                          </w:rPr>
                          <w:t>）</w:t>
                        </w:r>
                      </w:p>
                    </w:tc>
                    <w:tc>
                      <w:tcPr>
                        <w:tcW w:w="1100"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01"/>
                          <w:ind w:left="52"/>
                          <w:rPr>
                            <w:sz w:val="13"/>
                          </w:rPr>
                        </w:pPr>
                        <w:r>
                          <w:rPr>
                            <w:spacing w:val="-19"/>
                            <w:sz w:val="13"/>
                          </w:rPr>
                          <w:t>项目完成</w:t>
                        </w:r>
                        <w:r>
                          <w:rPr>
                            <w:spacing w:val="-9"/>
                            <w:sz w:val="13"/>
                          </w:rPr>
                          <w:t>（20</w:t>
                        </w:r>
                        <w:r>
                          <w:rPr>
                            <w:spacing w:val="-25"/>
                            <w:sz w:val="13"/>
                          </w:rPr>
                          <w:t> 分</w:t>
                        </w:r>
                        <w:r>
                          <w:rPr>
                            <w:sz w:val="13"/>
                          </w:rPr>
                          <w:t>）</w:t>
                        </w:r>
                      </w:p>
                    </w:tc>
                    <w:tc>
                      <w:tcPr>
                        <w:tcW w:w="938" w:type="dxa"/>
                      </w:tcPr>
                      <w:p>
                        <w:pPr>
                          <w:pStyle w:val="TableParagraph"/>
                          <w:rPr>
                            <w:sz w:val="12"/>
                          </w:rPr>
                        </w:pPr>
                      </w:p>
                      <w:p>
                        <w:pPr>
                          <w:pStyle w:val="TableParagraph"/>
                          <w:spacing w:before="92"/>
                          <w:ind w:left="267"/>
                          <w:rPr>
                            <w:sz w:val="13"/>
                          </w:rPr>
                        </w:pPr>
                        <w:r>
                          <w:rPr>
                            <w:sz w:val="13"/>
                          </w:rPr>
                          <w:t>完成数量</w:t>
                        </w:r>
                      </w:p>
                    </w:tc>
                    <w:tc>
                      <w:tcPr>
                        <w:tcW w:w="1023" w:type="dxa"/>
                      </w:tcPr>
                      <w:p>
                        <w:pPr>
                          <w:pStyle w:val="TableParagraph"/>
                          <w:rPr>
                            <w:sz w:val="12"/>
                          </w:rPr>
                        </w:pPr>
                      </w:p>
                      <w:p>
                        <w:pPr>
                          <w:pStyle w:val="TableParagraph"/>
                          <w:spacing w:before="92"/>
                          <w:ind w:left="361"/>
                          <w:rPr>
                            <w:sz w:val="13"/>
                          </w:rPr>
                        </w:pPr>
                        <w:r>
                          <w:rPr>
                            <w:sz w:val="13"/>
                          </w:rPr>
                          <w:t>完成率</w:t>
                        </w:r>
                      </w:p>
                    </w:tc>
                    <w:tc>
                      <w:tcPr>
                        <w:tcW w:w="866" w:type="dxa"/>
                      </w:tcPr>
                      <w:p>
                        <w:pPr>
                          <w:pStyle w:val="TableParagraph"/>
                          <w:rPr>
                            <w:sz w:val="12"/>
                          </w:rPr>
                        </w:pPr>
                      </w:p>
                      <w:p>
                        <w:pPr>
                          <w:pStyle w:val="TableParagraph"/>
                          <w:spacing w:before="92"/>
                          <w:ind w:right="6"/>
                          <w:jc w:val="center"/>
                          <w:rPr>
                            <w:sz w:val="13"/>
                          </w:rPr>
                        </w:pPr>
                        <w:r>
                          <w:rPr>
                            <w:sz w:val="13"/>
                          </w:rPr>
                          <w:t>100%</w:t>
                        </w:r>
                      </w:p>
                    </w:tc>
                    <w:tc>
                      <w:tcPr>
                        <w:tcW w:w="734" w:type="dxa"/>
                      </w:tcPr>
                      <w:p>
                        <w:pPr>
                          <w:pStyle w:val="TableParagraph"/>
                          <w:rPr>
                            <w:sz w:val="12"/>
                          </w:rPr>
                        </w:pPr>
                      </w:p>
                      <w:p>
                        <w:pPr>
                          <w:pStyle w:val="TableParagraph"/>
                          <w:spacing w:before="92"/>
                          <w:ind w:right="230"/>
                          <w:jc w:val="right"/>
                          <w:rPr>
                            <w:sz w:val="13"/>
                          </w:rPr>
                        </w:pPr>
                        <w:r>
                          <w:rPr>
                            <w:w w:val="90"/>
                            <w:sz w:val="13"/>
                          </w:rPr>
                          <w:t>100%</w:t>
                        </w:r>
                      </w:p>
                    </w:tc>
                    <w:tc>
                      <w:tcPr>
                        <w:tcW w:w="655" w:type="dxa"/>
                      </w:tcPr>
                      <w:p>
                        <w:pPr>
                          <w:pStyle w:val="TableParagraph"/>
                          <w:rPr>
                            <w:sz w:val="12"/>
                          </w:rPr>
                        </w:pPr>
                      </w:p>
                      <w:p>
                        <w:pPr>
                          <w:pStyle w:val="TableParagraph"/>
                          <w:spacing w:before="92"/>
                          <w:ind w:left="33"/>
                          <w:jc w:val="center"/>
                          <w:rPr>
                            <w:sz w:val="13"/>
                          </w:rPr>
                        </w:pPr>
                        <w:r>
                          <w:rPr>
                            <w:w w:val="92"/>
                            <w:sz w:val="13"/>
                          </w:rPr>
                          <w:t>5</w:t>
                        </w:r>
                      </w:p>
                    </w:tc>
                    <w:tc>
                      <w:tcPr>
                        <w:tcW w:w="382" w:type="dxa"/>
                      </w:tcPr>
                      <w:p>
                        <w:pPr>
                          <w:pStyle w:val="TableParagraph"/>
                          <w:rPr>
                            <w:sz w:val="12"/>
                          </w:rPr>
                        </w:pPr>
                      </w:p>
                      <w:p>
                        <w:pPr>
                          <w:pStyle w:val="TableParagraph"/>
                          <w:spacing w:before="92"/>
                          <w:ind w:right="137"/>
                          <w:jc w:val="right"/>
                          <w:rPr>
                            <w:sz w:val="13"/>
                          </w:rPr>
                        </w:pPr>
                        <w:r>
                          <w:rPr>
                            <w:w w:val="92"/>
                            <w:sz w:val="13"/>
                          </w:rPr>
                          <w:t>5</w:t>
                        </w:r>
                      </w:p>
                    </w:tc>
                    <w:tc>
                      <w:tcPr>
                        <w:tcW w:w="2369" w:type="dxa"/>
                      </w:tcPr>
                      <w:p>
                        <w:pPr>
                          <w:pStyle w:val="TableParagraph"/>
                          <w:ind w:left="4" w:right="12"/>
                          <w:rPr>
                            <w:sz w:val="13"/>
                          </w:rPr>
                        </w:pPr>
                        <w:r>
                          <w:rPr>
                            <w:sz w:val="13"/>
                          </w:rPr>
                          <w:t>得分=分值×实际完成任务量/绩效目标设定任务量×100%。实际完成任务量大于绩</w:t>
                        </w:r>
                      </w:p>
                      <w:p>
                        <w:pPr>
                          <w:pStyle w:val="TableParagraph"/>
                          <w:spacing w:line="147" w:lineRule="exact" w:before="4"/>
                          <w:ind w:left="4"/>
                          <w:rPr>
                            <w:sz w:val="13"/>
                          </w:rPr>
                        </w:pPr>
                        <w:r>
                          <w:rPr>
                            <w:sz w:val="13"/>
                          </w:rPr>
                          <w:t>效目标设定任务量得满分。</w:t>
                        </w:r>
                      </w:p>
                    </w:tc>
                    <w:tc>
                      <w:tcPr>
                        <w:tcW w:w="2049" w:type="dxa"/>
                      </w:tcPr>
                      <w:p>
                        <w:pPr>
                          <w:pStyle w:val="TableParagraph"/>
                          <w:rPr>
                            <w:rFonts w:ascii="Times New Roman"/>
                            <w:sz w:val="12"/>
                          </w:rPr>
                        </w:pPr>
                      </w:p>
                    </w:tc>
                  </w:tr>
                  <w:tr>
                    <w:trPr>
                      <w:trHeight w:val="226"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spacing w:line="165" w:lineRule="exact" w:before="41"/>
                          <w:ind w:left="267"/>
                          <w:rPr>
                            <w:sz w:val="13"/>
                          </w:rPr>
                        </w:pPr>
                        <w:r>
                          <w:rPr>
                            <w:sz w:val="13"/>
                          </w:rPr>
                          <w:t>完成质量</w:t>
                        </w:r>
                      </w:p>
                    </w:tc>
                    <w:tc>
                      <w:tcPr>
                        <w:tcW w:w="1023" w:type="dxa"/>
                      </w:tcPr>
                      <w:p>
                        <w:pPr>
                          <w:pStyle w:val="TableParagraph"/>
                          <w:spacing w:line="165" w:lineRule="exact" w:before="41"/>
                          <w:ind w:left="361"/>
                          <w:rPr>
                            <w:sz w:val="13"/>
                          </w:rPr>
                        </w:pPr>
                        <w:r>
                          <w:rPr>
                            <w:sz w:val="13"/>
                          </w:rPr>
                          <w:t>合格率</w:t>
                        </w:r>
                      </w:p>
                    </w:tc>
                    <w:tc>
                      <w:tcPr>
                        <w:tcW w:w="866" w:type="dxa"/>
                      </w:tcPr>
                      <w:p>
                        <w:pPr>
                          <w:pStyle w:val="TableParagraph"/>
                          <w:spacing w:line="165" w:lineRule="exact" w:before="41"/>
                          <w:ind w:right="6"/>
                          <w:jc w:val="center"/>
                          <w:rPr>
                            <w:sz w:val="13"/>
                          </w:rPr>
                        </w:pPr>
                        <w:r>
                          <w:rPr>
                            <w:sz w:val="13"/>
                          </w:rPr>
                          <w:t>100%</w:t>
                        </w:r>
                      </w:p>
                    </w:tc>
                    <w:tc>
                      <w:tcPr>
                        <w:tcW w:w="734" w:type="dxa"/>
                      </w:tcPr>
                      <w:p>
                        <w:pPr>
                          <w:pStyle w:val="TableParagraph"/>
                          <w:spacing w:line="165" w:lineRule="exact" w:before="41"/>
                          <w:ind w:right="230"/>
                          <w:jc w:val="right"/>
                          <w:rPr>
                            <w:sz w:val="13"/>
                          </w:rPr>
                        </w:pPr>
                        <w:r>
                          <w:rPr>
                            <w:w w:val="90"/>
                            <w:sz w:val="13"/>
                          </w:rPr>
                          <w:t>100%</w:t>
                        </w:r>
                      </w:p>
                    </w:tc>
                    <w:tc>
                      <w:tcPr>
                        <w:tcW w:w="655" w:type="dxa"/>
                      </w:tcPr>
                      <w:p>
                        <w:pPr>
                          <w:pStyle w:val="TableParagraph"/>
                          <w:spacing w:line="165" w:lineRule="exact" w:before="41"/>
                          <w:ind w:left="33"/>
                          <w:jc w:val="center"/>
                          <w:rPr>
                            <w:sz w:val="13"/>
                          </w:rPr>
                        </w:pPr>
                        <w:r>
                          <w:rPr>
                            <w:w w:val="92"/>
                            <w:sz w:val="13"/>
                          </w:rPr>
                          <w:t>5</w:t>
                        </w:r>
                      </w:p>
                    </w:tc>
                    <w:tc>
                      <w:tcPr>
                        <w:tcW w:w="382" w:type="dxa"/>
                      </w:tcPr>
                      <w:p>
                        <w:pPr>
                          <w:pStyle w:val="TableParagraph"/>
                          <w:spacing w:line="165" w:lineRule="exact" w:before="41"/>
                          <w:ind w:right="137"/>
                          <w:jc w:val="right"/>
                          <w:rPr>
                            <w:sz w:val="13"/>
                          </w:rPr>
                        </w:pPr>
                        <w:r>
                          <w:rPr>
                            <w:w w:val="92"/>
                            <w:sz w:val="13"/>
                          </w:rPr>
                          <w:t>5</w:t>
                        </w:r>
                      </w:p>
                    </w:tc>
                    <w:tc>
                      <w:tcPr>
                        <w:tcW w:w="2369" w:type="dxa"/>
                      </w:tcPr>
                      <w:p>
                        <w:pPr>
                          <w:pStyle w:val="TableParagraph"/>
                          <w:spacing w:line="165" w:lineRule="exact" w:before="41"/>
                          <w:ind w:left="108" w:right="54"/>
                          <w:jc w:val="center"/>
                          <w:rPr>
                            <w:sz w:val="13"/>
                          </w:rPr>
                        </w:pPr>
                        <w:r>
                          <w:rPr>
                            <w:spacing w:val="-19"/>
                            <w:w w:val="90"/>
                            <w:sz w:val="13"/>
                          </w:rPr>
                          <w:t>符合绩效目标设定的验收标准，达到行业基准水平</w:t>
                        </w:r>
                      </w:p>
                    </w:tc>
                    <w:tc>
                      <w:tcPr>
                        <w:tcW w:w="2049" w:type="dxa"/>
                      </w:tcPr>
                      <w:p>
                        <w:pPr>
                          <w:pStyle w:val="TableParagraph"/>
                          <w:rPr>
                            <w:rFonts w:ascii="Times New Roman"/>
                            <w:sz w:val="12"/>
                          </w:rPr>
                        </w:pPr>
                      </w:p>
                    </w:tc>
                  </w:tr>
                  <w:tr>
                    <w:trPr>
                      <w:trHeight w:val="570"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rPr>
                            <w:sz w:val="12"/>
                          </w:rPr>
                        </w:pPr>
                      </w:p>
                      <w:p>
                        <w:pPr>
                          <w:pStyle w:val="TableParagraph"/>
                          <w:spacing w:before="93"/>
                          <w:ind w:left="243"/>
                          <w:rPr>
                            <w:sz w:val="13"/>
                          </w:rPr>
                        </w:pPr>
                        <w:r>
                          <w:rPr>
                            <w:sz w:val="13"/>
                          </w:rPr>
                          <w:t>完成时效</w:t>
                        </w:r>
                      </w:p>
                    </w:tc>
                    <w:tc>
                      <w:tcPr>
                        <w:tcW w:w="1023" w:type="dxa"/>
                      </w:tcPr>
                      <w:p>
                        <w:pPr>
                          <w:pStyle w:val="TableParagraph"/>
                          <w:rPr>
                            <w:sz w:val="12"/>
                          </w:rPr>
                        </w:pPr>
                      </w:p>
                      <w:p>
                        <w:pPr>
                          <w:pStyle w:val="TableParagraph"/>
                          <w:spacing w:before="93"/>
                          <w:ind w:left="258"/>
                          <w:rPr>
                            <w:sz w:val="13"/>
                          </w:rPr>
                        </w:pPr>
                        <w:r>
                          <w:rPr>
                            <w:sz w:val="13"/>
                          </w:rPr>
                          <w:t>服务准时率</w:t>
                        </w:r>
                      </w:p>
                    </w:tc>
                    <w:tc>
                      <w:tcPr>
                        <w:tcW w:w="866" w:type="dxa"/>
                      </w:tcPr>
                      <w:p>
                        <w:pPr>
                          <w:pStyle w:val="TableParagraph"/>
                          <w:rPr>
                            <w:sz w:val="12"/>
                          </w:rPr>
                        </w:pPr>
                      </w:p>
                      <w:p>
                        <w:pPr>
                          <w:pStyle w:val="TableParagraph"/>
                          <w:spacing w:before="93"/>
                          <w:ind w:left="49" w:right="15"/>
                          <w:jc w:val="center"/>
                          <w:rPr>
                            <w:sz w:val="13"/>
                          </w:rPr>
                        </w:pPr>
                        <w:r>
                          <w:rPr>
                            <w:sz w:val="13"/>
                          </w:rPr>
                          <w:t>100%</w:t>
                        </w:r>
                      </w:p>
                    </w:tc>
                    <w:tc>
                      <w:tcPr>
                        <w:tcW w:w="734" w:type="dxa"/>
                      </w:tcPr>
                      <w:p>
                        <w:pPr>
                          <w:pStyle w:val="TableParagraph"/>
                          <w:rPr>
                            <w:sz w:val="12"/>
                          </w:rPr>
                        </w:pPr>
                      </w:p>
                      <w:p>
                        <w:pPr>
                          <w:pStyle w:val="TableParagraph"/>
                          <w:spacing w:before="93"/>
                          <w:ind w:right="230"/>
                          <w:jc w:val="right"/>
                          <w:rPr>
                            <w:sz w:val="13"/>
                          </w:rPr>
                        </w:pPr>
                        <w:r>
                          <w:rPr>
                            <w:w w:val="90"/>
                            <w:sz w:val="13"/>
                          </w:rPr>
                          <w:t>100%</w:t>
                        </w:r>
                      </w:p>
                    </w:tc>
                    <w:tc>
                      <w:tcPr>
                        <w:tcW w:w="655" w:type="dxa"/>
                      </w:tcPr>
                      <w:p>
                        <w:pPr>
                          <w:pStyle w:val="TableParagraph"/>
                          <w:rPr>
                            <w:sz w:val="12"/>
                          </w:rPr>
                        </w:pPr>
                      </w:p>
                      <w:p>
                        <w:pPr>
                          <w:pStyle w:val="TableParagraph"/>
                          <w:spacing w:before="93"/>
                          <w:ind w:left="33"/>
                          <w:jc w:val="center"/>
                          <w:rPr>
                            <w:sz w:val="13"/>
                          </w:rPr>
                        </w:pPr>
                        <w:r>
                          <w:rPr>
                            <w:w w:val="92"/>
                            <w:sz w:val="13"/>
                          </w:rPr>
                          <w:t>5</w:t>
                        </w:r>
                      </w:p>
                    </w:tc>
                    <w:tc>
                      <w:tcPr>
                        <w:tcW w:w="382" w:type="dxa"/>
                      </w:tcPr>
                      <w:p>
                        <w:pPr>
                          <w:pStyle w:val="TableParagraph"/>
                          <w:rPr>
                            <w:sz w:val="12"/>
                          </w:rPr>
                        </w:pPr>
                      </w:p>
                      <w:p>
                        <w:pPr>
                          <w:pStyle w:val="TableParagraph"/>
                          <w:spacing w:before="93"/>
                          <w:ind w:right="137"/>
                          <w:jc w:val="right"/>
                          <w:rPr>
                            <w:sz w:val="13"/>
                          </w:rPr>
                        </w:pPr>
                        <w:r>
                          <w:rPr>
                            <w:w w:val="92"/>
                            <w:sz w:val="13"/>
                          </w:rPr>
                          <w:t>5</w:t>
                        </w:r>
                      </w:p>
                    </w:tc>
                    <w:tc>
                      <w:tcPr>
                        <w:tcW w:w="2369" w:type="dxa"/>
                      </w:tcPr>
                      <w:p>
                        <w:pPr>
                          <w:pStyle w:val="TableParagraph"/>
                          <w:spacing w:line="223" w:lineRule="auto" w:before="49"/>
                          <w:ind w:left="4" w:right="13"/>
                          <w:jc w:val="both"/>
                          <w:rPr>
                            <w:sz w:val="13"/>
                          </w:rPr>
                        </w:pPr>
                        <w:r>
                          <w:rPr>
                            <w:spacing w:val="-15"/>
                            <w:w w:val="90"/>
                            <w:sz w:val="13"/>
                          </w:rPr>
                          <w:t>得分=分值×</w:t>
                        </w:r>
                        <w:r>
                          <w:rPr>
                            <w:spacing w:val="-20"/>
                            <w:w w:val="90"/>
                            <w:sz w:val="13"/>
                          </w:rPr>
                          <w:t>（1-（</w:t>
                        </w:r>
                        <w:r>
                          <w:rPr>
                            <w:spacing w:val="-16"/>
                            <w:w w:val="90"/>
                            <w:sz w:val="13"/>
                          </w:rPr>
                          <w:t>实际完成时间－绩效目标设定完成时间</w:t>
                        </w:r>
                        <w:r>
                          <w:rPr>
                            <w:spacing w:val="-17"/>
                            <w:w w:val="90"/>
                            <w:sz w:val="13"/>
                          </w:rPr>
                          <w:t>）/绩效目标设定完成时间×</w:t>
                        </w:r>
                        <w:r>
                          <w:rPr>
                            <w:spacing w:val="-14"/>
                            <w:w w:val="90"/>
                            <w:sz w:val="13"/>
                          </w:rPr>
                          <w:t>100%）</w:t>
                        </w:r>
                        <w:r>
                          <w:rPr>
                            <w:spacing w:val="-12"/>
                            <w:w w:val="90"/>
                            <w:sz w:val="13"/>
                          </w:rPr>
                          <w:t>；实际完</w:t>
                        </w:r>
                        <w:r>
                          <w:rPr>
                            <w:spacing w:val="-16"/>
                            <w:sz w:val="13"/>
                          </w:rPr>
                          <w:t>成时间低于绩效目标设定时间得满分。</w:t>
                        </w:r>
                      </w:p>
                    </w:tc>
                    <w:tc>
                      <w:tcPr>
                        <w:tcW w:w="2049" w:type="dxa"/>
                      </w:tcPr>
                      <w:p>
                        <w:pPr>
                          <w:pStyle w:val="TableParagraph"/>
                          <w:rPr>
                            <w:rFonts w:ascii="Times New Roman"/>
                            <w:sz w:val="12"/>
                          </w:rPr>
                        </w:pPr>
                      </w:p>
                    </w:tc>
                  </w:tr>
                  <w:tr>
                    <w:trPr>
                      <w:trHeight w:val="516"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rPr>
                            <w:sz w:val="12"/>
                          </w:rPr>
                        </w:pPr>
                      </w:p>
                      <w:p>
                        <w:pPr>
                          <w:pStyle w:val="TableParagraph"/>
                          <w:spacing w:before="93"/>
                          <w:ind w:left="243"/>
                          <w:rPr>
                            <w:sz w:val="13"/>
                          </w:rPr>
                        </w:pPr>
                        <w:r>
                          <w:rPr>
                            <w:sz w:val="13"/>
                          </w:rPr>
                          <w:t>完成成本</w:t>
                        </w:r>
                      </w:p>
                    </w:tc>
                    <w:tc>
                      <w:tcPr>
                        <w:tcW w:w="1023" w:type="dxa"/>
                      </w:tcPr>
                      <w:p>
                        <w:pPr>
                          <w:pStyle w:val="TableParagraph"/>
                          <w:rPr>
                            <w:sz w:val="12"/>
                          </w:rPr>
                        </w:pPr>
                      </w:p>
                      <w:p>
                        <w:pPr>
                          <w:pStyle w:val="TableParagraph"/>
                          <w:spacing w:before="93"/>
                          <w:ind w:left="234"/>
                          <w:rPr>
                            <w:sz w:val="13"/>
                          </w:rPr>
                        </w:pPr>
                        <w:r>
                          <w:rPr>
                            <w:sz w:val="13"/>
                          </w:rPr>
                          <w:t>成本节约率</w:t>
                        </w:r>
                      </w:p>
                    </w:tc>
                    <w:tc>
                      <w:tcPr>
                        <w:tcW w:w="866" w:type="dxa"/>
                      </w:tcPr>
                      <w:p>
                        <w:pPr>
                          <w:pStyle w:val="TableParagraph"/>
                          <w:rPr>
                            <w:sz w:val="12"/>
                          </w:rPr>
                        </w:pPr>
                      </w:p>
                      <w:p>
                        <w:pPr>
                          <w:pStyle w:val="TableParagraph"/>
                          <w:spacing w:before="93"/>
                          <w:ind w:right="11"/>
                          <w:jc w:val="center"/>
                          <w:rPr>
                            <w:sz w:val="13"/>
                          </w:rPr>
                        </w:pPr>
                        <w:r>
                          <w:rPr>
                            <w:sz w:val="13"/>
                          </w:rPr>
                          <w:t>≥10%</w:t>
                        </w:r>
                      </w:p>
                    </w:tc>
                    <w:tc>
                      <w:tcPr>
                        <w:tcW w:w="734" w:type="dxa"/>
                      </w:tcPr>
                      <w:p>
                        <w:pPr>
                          <w:pStyle w:val="TableParagraph"/>
                          <w:rPr>
                            <w:sz w:val="12"/>
                          </w:rPr>
                        </w:pPr>
                      </w:p>
                      <w:p>
                        <w:pPr>
                          <w:pStyle w:val="TableParagraph"/>
                          <w:spacing w:before="93"/>
                          <w:ind w:right="228"/>
                          <w:jc w:val="right"/>
                          <w:rPr>
                            <w:sz w:val="13"/>
                          </w:rPr>
                        </w:pPr>
                        <w:r>
                          <w:rPr>
                            <w:w w:val="90"/>
                            <w:sz w:val="13"/>
                          </w:rPr>
                          <w:t>≥10%</w:t>
                        </w:r>
                      </w:p>
                    </w:tc>
                    <w:tc>
                      <w:tcPr>
                        <w:tcW w:w="655" w:type="dxa"/>
                      </w:tcPr>
                      <w:p>
                        <w:pPr>
                          <w:pStyle w:val="TableParagraph"/>
                          <w:rPr>
                            <w:sz w:val="12"/>
                          </w:rPr>
                        </w:pPr>
                      </w:p>
                      <w:p>
                        <w:pPr>
                          <w:pStyle w:val="TableParagraph"/>
                          <w:spacing w:before="93"/>
                          <w:ind w:right="12"/>
                          <w:jc w:val="center"/>
                          <w:rPr>
                            <w:sz w:val="13"/>
                          </w:rPr>
                        </w:pPr>
                        <w:r>
                          <w:rPr>
                            <w:w w:val="92"/>
                            <w:sz w:val="13"/>
                          </w:rPr>
                          <w:t>5</w:t>
                        </w:r>
                      </w:p>
                    </w:tc>
                    <w:tc>
                      <w:tcPr>
                        <w:tcW w:w="382" w:type="dxa"/>
                      </w:tcPr>
                      <w:p>
                        <w:pPr>
                          <w:pStyle w:val="TableParagraph"/>
                          <w:rPr>
                            <w:sz w:val="12"/>
                          </w:rPr>
                        </w:pPr>
                      </w:p>
                      <w:p>
                        <w:pPr>
                          <w:pStyle w:val="TableParagraph"/>
                          <w:spacing w:before="93"/>
                          <w:ind w:right="161"/>
                          <w:jc w:val="right"/>
                          <w:rPr>
                            <w:sz w:val="13"/>
                          </w:rPr>
                        </w:pPr>
                        <w:r>
                          <w:rPr>
                            <w:w w:val="92"/>
                            <w:sz w:val="13"/>
                          </w:rPr>
                          <w:t>5</w:t>
                        </w:r>
                      </w:p>
                    </w:tc>
                    <w:tc>
                      <w:tcPr>
                        <w:tcW w:w="2369" w:type="dxa"/>
                      </w:tcPr>
                      <w:p>
                        <w:pPr>
                          <w:pStyle w:val="TableParagraph"/>
                          <w:spacing w:line="160" w:lineRule="exact" w:before="41"/>
                          <w:ind w:left="4"/>
                          <w:rPr>
                            <w:sz w:val="13"/>
                          </w:rPr>
                        </w:pPr>
                        <w:r>
                          <w:rPr>
                            <w:spacing w:val="-15"/>
                            <w:w w:val="90"/>
                            <w:sz w:val="13"/>
                          </w:rPr>
                          <w:t>得分=分值×</w:t>
                        </w:r>
                        <w:r>
                          <w:rPr>
                            <w:spacing w:val="-18"/>
                            <w:w w:val="90"/>
                            <w:sz w:val="13"/>
                          </w:rPr>
                          <w:t>（1-（</w:t>
                        </w:r>
                        <w:r>
                          <w:rPr>
                            <w:spacing w:val="-13"/>
                            <w:w w:val="90"/>
                            <w:sz w:val="13"/>
                          </w:rPr>
                          <w:t>实际完成成本－ 预计完成成本</w:t>
                        </w:r>
                      </w:p>
                      <w:p>
                        <w:pPr>
                          <w:pStyle w:val="TableParagraph"/>
                          <w:spacing w:line="155" w:lineRule="exact"/>
                          <w:ind w:left="4"/>
                          <w:rPr>
                            <w:sz w:val="13"/>
                          </w:rPr>
                        </w:pPr>
                        <w:r>
                          <w:rPr>
                            <w:spacing w:val="-7"/>
                            <w:w w:val="90"/>
                            <w:sz w:val="13"/>
                          </w:rPr>
                          <w:t>/</w:t>
                        </w:r>
                        <w:r>
                          <w:rPr>
                            <w:spacing w:val="-10"/>
                            <w:w w:val="90"/>
                            <w:sz w:val="13"/>
                          </w:rPr>
                          <w:t>预计完成成本× </w:t>
                        </w:r>
                        <w:r>
                          <w:rPr>
                            <w:spacing w:val="-9"/>
                            <w:w w:val="90"/>
                            <w:sz w:val="13"/>
                          </w:rPr>
                          <w:t>100%）</w:t>
                        </w:r>
                        <w:r>
                          <w:rPr>
                            <w:spacing w:val="-16"/>
                            <w:w w:val="90"/>
                            <w:sz w:val="13"/>
                          </w:rPr>
                          <w:t>。实际完成成本低于预计</w:t>
                        </w:r>
                      </w:p>
                      <w:p>
                        <w:pPr>
                          <w:pStyle w:val="TableParagraph"/>
                          <w:spacing w:line="140" w:lineRule="exact"/>
                          <w:ind w:left="4"/>
                          <w:rPr>
                            <w:sz w:val="13"/>
                          </w:rPr>
                        </w:pPr>
                        <w:r>
                          <w:rPr>
                            <w:sz w:val="13"/>
                          </w:rPr>
                          <w:t>成本得满分</w:t>
                        </w:r>
                      </w:p>
                    </w:tc>
                    <w:tc>
                      <w:tcPr>
                        <w:tcW w:w="2049" w:type="dxa"/>
                      </w:tcPr>
                      <w:p>
                        <w:pPr>
                          <w:pStyle w:val="TableParagraph"/>
                          <w:spacing w:before="41"/>
                          <w:ind w:left="-90"/>
                          <w:rPr>
                            <w:sz w:val="13"/>
                          </w:rPr>
                        </w:pPr>
                        <w:r>
                          <w:rPr>
                            <w:w w:val="92"/>
                            <w:sz w:val="13"/>
                          </w:rPr>
                          <w:t>）</w:t>
                        </w:r>
                      </w:p>
                    </w:tc>
                  </w:tr>
                  <w:tr>
                    <w:trPr>
                      <w:trHeight w:val="516" w:hRule="atLeast"/>
                    </w:trPr>
                    <w:tc>
                      <w:tcPr>
                        <w:tcW w:w="795" w:type="dxa"/>
                        <w:vMerge/>
                        <w:tcBorders>
                          <w:top w:val="nil"/>
                        </w:tcBorders>
                      </w:tcPr>
                      <w:p>
                        <w:pPr>
                          <w:rPr>
                            <w:sz w:val="2"/>
                            <w:szCs w:val="2"/>
                          </w:rPr>
                        </w:pPr>
                      </w:p>
                    </w:tc>
                    <w:tc>
                      <w:tcPr>
                        <w:tcW w:w="1100"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0"/>
                          <w:rPr>
                            <w:sz w:val="9"/>
                          </w:rPr>
                        </w:pPr>
                      </w:p>
                      <w:p>
                        <w:pPr>
                          <w:pStyle w:val="TableParagraph"/>
                          <w:spacing w:before="1"/>
                          <w:ind w:left="52"/>
                          <w:rPr>
                            <w:sz w:val="13"/>
                          </w:rPr>
                        </w:pPr>
                        <w:r>
                          <w:rPr>
                            <w:spacing w:val="-19"/>
                            <w:sz w:val="13"/>
                          </w:rPr>
                          <w:t>项目效益</w:t>
                        </w:r>
                        <w:r>
                          <w:rPr>
                            <w:spacing w:val="-9"/>
                            <w:sz w:val="13"/>
                          </w:rPr>
                          <w:t>（40</w:t>
                        </w:r>
                        <w:r>
                          <w:rPr>
                            <w:spacing w:val="-25"/>
                            <w:sz w:val="13"/>
                          </w:rPr>
                          <w:t> 分</w:t>
                        </w:r>
                        <w:r>
                          <w:rPr>
                            <w:sz w:val="13"/>
                          </w:rPr>
                          <w:t>）</w:t>
                        </w:r>
                      </w:p>
                    </w:tc>
                    <w:tc>
                      <w:tcPr>
                        <w:tcW w:w="938" w:type="dxa"/>
                      </w:tcPr>
                      <w:p>
                        <w:pPr>
                          <w:pStyle w:val="TableParagraph"/>
                          <w:rPr>
                            <w:sz w:val="12"/>
                          </w:rPr>
                        </w:pPr>
                      </w:p>
                      <w:p>
                        <w:pPr>
                          <w:pStyle w:val="TableParagraph"/>
                          <w:spacing w:before="93"/>
                          <w:ind w:left="243"/>
                          <w:rPr>
                            <w:sz w:val="13"/>
                          </w:rPr>
                        </w:pPr>
                        <w:r>
                          <w:rPr>
                            <w:sz w:val="13"/>
                          </w:rPr>
                          <w:t>经济效益</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9"/>
                          <w:rPr>
                            <w:sz w:val="11"/>
                          </w:rPr>
                        </w:pPr>
                      </w:p>
                      <w:p>
                        <w:pPr>
                          <w:pStyle w:val="TableParagraph"/>
                          <w:ind w:left="125" w:right="135"/>
                          <w:jc w:val="center"/>
                          <w:rPr>
                            <w:sz w:val="13"/>
                          </w:rPr>
                        </w:pPr>
                        <w:r>
                          <w:rPr>
                            <w:sz w:val="13"/>
                          </w:rPr>
                          <w:t>30</w:t>
                        </w:r>
                      </w:p>
                    </w:tc>
                    <w:tc>
                      <w:tcPr>
                        <w:tcW w:w="382" w:type="dxa"/>
                      </w:tcPr>
                      <w:p>
                        <w:pPr>
                          <w:pStyle w:val="TableParagraph"/>
                          <w:rPr>
                            <w:rFonts w:ascii="Times New Roman"/>
                            <w:sz w:val="12"/>
                          </w:rPr>
                        </w:pPr>
                      </w:p>
                    </w:tc>
                    <w:tc>
                      <w:tcPr>
                        <w:tcW w:w="2369" w:type="dxa"/>
                      </w:tcPr>
                      <w:p>
                        <w:pPr>
                          <w:pStyle w:val="TableParagraph"/>
                          <w:spacing w:line="220" w:lineRule="auto" w:before="51"/>
                          <w:ind w:left="4" w:right="29"/>
                          <w:rPr>
                            <w:sz w:val="13"/>
                          </w:rPr>
                        </w:pPr>
                        <w:r>
                          <w:rPr>
                            <w:spacing w:val="-17"/>
                            <w:w w:val="90"/>
                            <w:sz w:val="13"/>
                          </w:rPr>
                          <w:t>反映相关产出对经济社会发展带来的影响和效果， 根据项目实际细化具体指标，参考投入产出率、回</w:t>
                        </w:r>
                      </w:p>
                      <w:p>
                        <w:pPr>
                          <w:pStyle w:val="TableParagraph"/>
                          <w:spacing w:line="139" w:lineRule="exact"/>
                          <w:ind w:left="4"/>
                          <w:rPr>
                            <w:sz w:val="13"/>
                          </w:rPr>
                        </w:pPr>
                        <w:r>
                          <w:rPr>
                            <w:sz w:val="13"/>
                          </w:rPr>
                          <w:t>报率、增长率等指标。</w:t>
                        </w:r>
                      </w:p>
                    </w:tc>
                    <w:tc>
                      <w:tcPr>
                        <w:tcW w:w="2049" w:type="dxa"/>
                        <w:vMerge w:val="restart"/>
                      </w:tcPr>
                      <w:p>
                        <w:pPr>
                          <w:pStyle w:val="TableParagraph"/>
                          <w:rPr>
                            <w:rFonts w:ascii="Times New Roman"/>
                            <w:sz w:val="12"/>
                          </w:rPr>
                        </w:pPr>
                      </w:p>
                    </w:tc>
                  </w:tr>
                  <w:tr>
                    <w:trPr>
                      <w:trHeight w:val="619"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rPr>
                            <w:sz w:val="12"/>
                          </w:rPr>
                        </w:pPr>
                      </w:p>
                      <w:p>
                        <w:pPr>
                          <w:pStyle w:val="TableParagraph"/>
                          <w:spacing w:before="93"/>
                          <w:ind w:left="243"/>
                          <w:rPr>
                            <w:sz w:val="13"/>
                          </w:rPr>
                        </w:pPr>
                        <w:r>
                          <w:rPr>
                            <w:sz w:val="13"/>
                          </w:rPr>
                          <w:t>社会效益</w:t>
                        </w:r>
                      </w:p>
                    </w:tc>
                    <w:tc>
                      <w:tcPr>
                        <w:tcW w:w="1023" w:type="dxa"/>
                      </w:tcPr>
                      <w:p>
                        <w:pPr>
                          <w:pStyle w:val="TableParagraph"/>
                          <w:rPr>
                            <w:sz w:val="12"/>
                          </w:rPr>
                        </w:pPr>
                      </w:p>
                      <w:p>
                        <w:pPr>
                          <w:pStyle w:val="TableParagraph"/>
                          <w:spacing w:before="93"/>
                          <w:ind w:left="25"/>
                          <w:rPr>
                            <w:sz w:val="13"/>
                          </w:rPr>
                        </w:pPr>
                        <w:r>
                          <w:rPr>
                            <w:spacing w:val="-16"/>
                            <w:w w:val="90"/>
                            <w:sz w:val="13"/>
                          </w:rPr>
                          <w:t>服务对象需求满足度</w:t>
                        </w:r>
                      </w:p>
                    </w:tc>
                    <w:tc>
                      <w:tcPr>
                        <w:tcW w:w="866" w:type="dxa"/>
                      </w:tcPr>
                      <w:p>
                        <w:pPr>
                          <w:pStyle w:val="TableParagraph"/>
                          <w:rPr>
                            <w:sz w:val="12"/>
                          </w:rPr>
                        </w:pPr>
                      </w:p>
                      <w:p>
                        <w:pPr>
                          <w:pStyle w:val="TableParagraph"/>
                          <w:spacing w:before="93"/>
                          <w:ind w:right="6"/>
                          <w:jc w:val="center"/>
                          <w:rPr>
                            <w:sz w:val="13"/>
                          </w:rPr>
                        </w:pPr>
                        <w:r>
                          <w:rPr>
                            <w:sz w:val="13"/>
                          </w:rPr>
                          <w:t>100%</w:t>
                        </w:r>
                      </w:p>
                    </w:tc>
                    <w:tc>
                      <w:tcPr>
                        <w:tcW w:w="734" w:type="dxa"/>
                      </w:tcPr>
                      <w:p>
                        <w:pPr>
                          <w:pStyle w:val="TableParagraph"/>
                          <w:rPr>
                            <w:sz w:val="12"/>
                          </w:rPr>
                        </w:pPr>
                      </w:p>
                      <w:p>
                        <w:pPr>
                          <w:pStyle w:val="TableParagraph"/>
                          <w:spacing w:before="93"/>
                          <w:ind w:right="202"/>
                          <w:jc w:val="right"/>
                          <w:rPr>
                            <w:sz w:val="13"/>
                          </w:rPr>
                        </w:pPr>
                        <w:r>
                          <w:rPr>
                            <w:w w:val="90"/>
                            <w:sz w:val="13"/>
                          </w:rPr>
                          <w:t>100%</w:t>
                        </w:r>
                      </w:p>
                    </w:tc>
                    <w:tc>
                      <w:tcPr>
                        <w:tcW w:w="655" w:type="dxa"/>
                        <w:vMerge/>
                        <w:tcBorders>
                          <w:top w:val="nil"/>
                        </w:tcBorders>
                      </w:tcPr>
                      <w:p>
                        <w:pPr>
                          <w:rPr>
                            <w:sz w:val="2"/>
                            <w:szCs w:val="2"/>
                          </w:rPr>
                        </w:pPr>
                      </w:p>
                    </w:tc>
                    <w:tc>
                      <w:tcPr>
                        <w:tcW w:w="382" w:type="dxa"/>
                      </w:tcPr>
                      <w:p>
                        <w:pPr>
                          <w:pStyle w:val="TableParagraph"/>
                          <w:rPr>
                            <w:sz w:val="12"/>
                          </w:rPr>
                        </w:pPr>
                      </w:p>
                      <w:p>
                        <w:pPr>
                          <w:pStyle w:val="TableParagraph"/>
                          <w:rPr>
                            <w:sz w:val="12"/>
                          </w:rPr>
                        </w:pPr>
                      </w:p>
                      <w:p>
                        <w:pPr>
                          <w:pStyle w:val="TableParagraph"/>
                          <w:spacing w:before="4"/>
                          <w:rPr>
                            <w:sz w:val="11"/>
                          </w:rPr>
                        </w:pPr>
                      </w:p>
                      <w:p>
                        <w:pPr>
                          <w:pStyle w:val="TableParagraph"/>
                          <w:spacing w:line="146" w:lineRule="exact"/>
                          <w:ind w:left="4"/>
                          <w:rPr>
                            <w:sz w:val="13"/>
                          </w:rPr>
                        </w:pPr>
                        <w:r>
                          <w:rPr>
                            <w:sz w:val="13"/>
                          </w:rPr>
                          <w:t>30</w:t>
                        </w:r>
                      </w:p>
                    </w:tc>
                    <w:tc>
                      <w:tcPr>
                        <w:tcW w:w="2369" w:type="dxa"/>
                      </w:tcPr>
                      <w:p>
                        <w:pPr>
                          <w:pStyle w:val="TableParagraph"/>
                          <w:spacing w:line="223" w:lineRule="auto" w:before="49"/>
                          <w:ind w:left="4" w:right="-15"/>
                          <w:jc w:val="both"/>
                          <w:rPr>
                            <w:sz w:val="13"/>
                          </w:rPr>
                        </w:pPr>
                        <w:r>
                          <w:rPr>
                            <w:spacing w:val="-15"/>
                            <w:w w:val="90"/>
                            <w:sz w:val="13"/>
                          </w:rPr>
                          <w:t>反映相关产出对社会发展带来的影响和效果，根据项目实际细化具体指标，参考撬动率、贡献率、达</w:t>
                        </w:r>
                        <w:r>
                          <w:rPr>
                            <w:spacing w:val="-17"/>
                            <w:sz w:val="13"/>
                          </w:rPr>
                          <w:t>标率、覆盖率、就业率、改善率等指标。</w:t>
                        </w:r>
                      </w:p>
                    </w:tc>
                    <w:tc>
                      <w:tcPr>
                        <w:tcW w:w="2049" w:type="dxa"/>
                        <w:vMerge/>
                        <w:tcBorders>
                          <w:top w:val="nil"/>
                        </w:tcBorders>
                      </w:tcPr>
                      <w:p>
                        <w:pPr>
                          <w:rPr>
                            <w:sz w:val="2"/>
                            <w:szCs w:val="2"/>
                          </w:rPr>
                        </w:pPr>
                      </w:p>
                    </w:tc>
                  </w:tr>
                  <w:tr>
                    <w:trPr>
                      <w:trHeight w:val="412"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spacing w:before="40"/>
                          <w:ind w:left="243"/>
                          <w:rPr>
                            <w:sz w:val="13"/>
                          </w:rPr>
                        </w:pPr>
                        <w:r>
                          <w:rPr>
                            <w:sz w:val="13"/>
                          </w:rPr>
                          <w:t>环境效益</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tcBorders>
                          <w:top w:val="nil"/>
                        </w:tcBorders>
                      </w:tcPr>
                      <w:p>
                        <w:pPr>
                          <w:rPr>
                            <w:sz w:val="2"/>
                            <w:szCs w:val="2"/>
                          </w:rPr>
                        </w:pPr>
                      </w:p>
                    </w:tc>
                    <w:tc>
                      <w:tcPr>
                        <w:tcW w:w="382" w:type="dxa"/>
                      </w:tcPr>
                      <w:p>
                        <w:pPr>
                          <w:pStyle w:val="TableParagraph"/>
                          <w:rPr>
                            <w:rFonts w:ascii="Times New Roman"/>
                            <w:sz w:val="12"/>
                          </w:rPr>
                        </w:pPr>
                      </w:p>
                    </w:tc>
                    <w:tc>
                      <w:tcPr>
                        <w:tcW w:w="2369" w:type="dxa"/>
                      </w:tcPr>
                      <w:p>
                        <w:pPr>
                          <w:pStyle w:val="TableParagraph"/>
                          <w:spacing w:line="225" w:lineRule="auto" w:before="48"/>
                          <w:ind w:left="4" w:right="-15"/>
                          <w:rPr>
                            <w:sz w:val="13"/>
                          </w:rPr>
                        </w:pPr>
                        <w:r>
                          <w:rPr>
                            <w:spacing w:val="-15"/>
                            <w:w w:val="90"/>
                            <w:sz w:val="13"/>
                          </w:rPr>
                          <w:t>反映相关产出对自然环境改善带来的影响和效果， </w:t>
                        </w:r>
                        <w:r>
                          <w:rPr>
                            <w:spacing w:val="-16"/>
                            <w:sz w:val="13"/>
                          </w:rPr>
                          <w:t>根据项目实际细化具体指标。</w:t>
                        </w:r>
                      </w:p>
                    </w:tc>
                    <w:tc>
                      <w:tcPr>
                        <w:tcW w:w="2049" w:type="dxa"/>
                        <w:vMerge/>
                        <w:tcBorders>
                          <w:top w:val="nil"/>
                        </w:tcBorders>
                      </w:tcPr>
                      <w:p>
                        <w:pPr>
                          <w:rPr>
                            <w:sz w:val="2"/>
                            <w:szCs w:val="2"/>
                          </w:rPr>
                        </w:pPr>
                      </w:p>
                    </w:tc>
                  </w:tr>
                  <w:tr>
                    <w:trPr>
                      <w:trHeight w:val="567"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rPr>
                            <w:sz w:val="12"/>
                          </w:rPr>
                        </w:pPr>
                      </w:p>
                      <w:p>
                        <w:pPr>
                          <w:pStyle w:val="TableParagraph"/>
                          <w:spacing w:before="94"/>
                          <w:ind w:left="87"/>
                          <w:rPr>
                            <w:sz w:val="13"/>
                          </w:rPr>
                        </w:pPr>
                        <w:r>
                          <w:rPr>
                            <w:spacing w:val="-15"/>
                            <w:w w:val="95"/>
                            <w:sz w:val="13"/>
                          </w:rPr>
                          <w:t>服务对象满意度</w:t>
                        </w:r>
                      </w:p>
                    </w:tc>
                    <w:tc>
                      <w:tcPr>
                        <w:tcW w:w="1023" w:type="dxa"/>
                      </w:tcPr>
                      <w:p>
                        <w:pPr>
                          <w:pStyle w:val="TableParagraph"/>
                          <w:rPr>
                            <w:sz w:val="12"/>
                          </w:rPr>
                        </w:pPr>
                      </w:p>
                      <w:p>
                        <w:pPr>
                          <w:pStyle w:val="TableParagraph"/>
                          <w:spacing w:before="94"/>
                          <w:ind w:left="131"/>
                          <w:rPr>
                            <w:sz w:val="13"/>
                          </w:rPr>
                        </w:pPr>
                        <w:r>
                          <w:rPr>
                            <w:spacing w:val="-15"/>
                            <w:sz w:val="13"/>
                          </w:rPr>
                          <w:t>服务对象满意度</w:t>
                        </w:r>
                      </w:p>
                    </w:tc>
                    <w:tc>
                      <w:tcPr>
                        <w:tcW w:w="866" w:type="dxa"/>
                      </w:tcPr>
                      <w:p>
                        <w:pPr>
                          <w:pStyle w:val="TableParagraph"/>
                          <w:rPr>
                            <w:sz w:val="12"/>
                          </w:rPr>
                        </w:pPr>
                      </w:p>
                      <w:p>
                        <w:pPr>
                          <w:pStyle w:val="TableParagraph"/>
                          <w:spacing w:before="94"/>
                          <w:ind w:right="13"/>
                          <w:jc w:val="center"/>
                          <w:rPr>
                            <w:sz w:val="13"/>
                          </w:rPr>
                        </w:pPr>
                        <w:r>
                          <w:rPr>
                            <w:sz w:val="13"/>
                          </w:rPr>
                          <w:t>≥95%</w:t>
                        </w:r>
                      </w:p>
                    </w:tc>
                    <w:tc>
                      <w:tcPr>
                        <w:tcW w:w="734" w:type="dxa"/>
                      </w:tcPr>
                      <w:p>
                        <w:pPr>
                          <w:pStyle w:val="TableParagraph"/>
                          <w:rPr>
                            <w:sz w:val="12"/>
                          </w:rPr>
                        </w:pPr>
                      </w:p>
                      <w:p>
                        <w:pPr>
                          <w:pStyle w:val="TableParagraph"/>
                          <w:spacing w:before="94"/>
                          <w:ind w:right="179"/>
                          <w:jc w:val="right"/>
                          <w:rPr>
                            <w:sz w:val="13"/>
                          </w:rPr>
                        </w:pPr>
                        <w:r>
                          <w:rPr>
                            <w:w w:val="90"/>
                            <w:sz w:val="13"/>
                          </w:rPr>
                          <w:t>≥95%</w:t>
                        </w:r>
                      </w:p>
                    </w:tc>
                    <w:tc>
                      <w:tcPr>
                        <w:tcW w:w="655" w:type="dxa"/>
                      </w:tcPr>
                      <w:p>
                        <w:pPr>
                          <w:pStyle w:val="TableParagraph"/>
                          <w:rPr>
                            <w:sz w:val="12"/>
                          </w:rPr>
                        </w:pPr>
                      </w:p>
                      <w:p>
                        <w:pPr>
                          <w:pStyle w:val="TableParagraph"/>
                          <w:spacing w:before="94"/>
                          <w:ind w:left="125" w:right="135"/>
                          <w:jc w:val="center"/>
                          <w:rPr>
                            <w:sz w:val="13"/>
                          </w:rPr>
                        </w:pPr>
                        <w:r>
                          <w:rPr>
                            <w:sz w:val="13"/>
                          </w:rPr>
                          <w:t>10</w:t>
                        </w:r>
                      </w:p>
                    </w:tc>
                    <w:tc>
                      <w:tcPr>
                        <w:tcW w:w="382" w:type="dxa"/>
                      </w:tcPr>
                      <w:p>
                        <w:pPr>
                          <w:pStyle w:val="TableParagraph"/>
                          <w:rPr>
                            <w:sz w:val="12"/>
                          </w:rPr>
                        </w:pPr>
                      </w:p>
                      <w:p>
                        <w:pPr>
                          <w:pStyle w:val="TableParagraph"/>
                          <w:spacing w:before="94"/>
                          <w:ind w:left="4"/>
                          <w:rPr>
                            <w:sz w:val="13"/>
                          </w:rPr>
                        </w:pPr>
                        <w:r>
                          <w:rPr>
                            <w:sz w:val="13"/>
                          </w:rPr>
                          <w:t>10</w:t>
                        </w:r>
                      </w:p>
                    </w:tc>
                    <w:tc>
                      <w:tcPr>
                        <w:tcW w:w="2369" w:type="dxa"/>
                      </w:tcPr>
                      <w:p>
                        <w:pPr>
                          <w:pStyle w:val="TableParagraph"/>
                          <w:spacing w:before="41"/>
                          <w:ind w:left="4"/>
                          <w:rPr>
                            <w:sz w:val="13"/>
                          </w:rPr>
                        </w:pPr>
                        <w:r>
                          <w:rPr>
                            <w:sz w:val="13"/>
                          </w:rPr>
                          <w:t>反映服务或受益对象对相关产出及</w:t>
                        </w:r>
                      </w:p>
                      <w:p>
                        <w:pPr>
                          <w:pStyle w:val="TableParagraph"/>
                          <w:spacing w:line="154" w:lineRule="exact" w:before="47"/>
                          <w:ind w:left="4" w:right="-15"/>
                          <w:rPr>
                            <w:sz w:val="13"/>
                          </w:rPr>
                        </w:pPr>
                        <w:r>
                          <w:rPr>
                            <w:spacing w:val="-15"/>
                            <w:w w:val="90"/>
                            <w:sz w:val="13"/>
                          </w:rPr>
                          <w:t>其影响的认可程度，一般采用问卷调查方式获得数</w:t>
                        </w:r>
                        <w:r>
                          <w:rPr>
                            <w:spacing w:val="-9"/>
                            <w:sz w:val="13"/>
                          </w:rPr>
                          <w:t>据。</w:t>
                        </w:r>
                      </w:p>
                    </w:tc>
                    <w:tc>
                      <w:tcPr>
                        <w:tcW w:w="2049" w:type="dxa"/>
                      </w:tcPr>
                      <w:p>
                        <w:pPr>
                          <w:pStyle w:val="TableParagraph"/>
                          <w:rPr>
                            <w:rFonts w:ascii="Times New Roman"/>
                            <w:sz w:val="12"/>
                          </w:rPr>
                        </w:pPr>
                      </w:p>
                    </w:tc>
                  </w:tr>
                  <w:tr>
                    <w:trPr>
                      <w:trHeight w:val="412" w:hRule="atLeast"/>
                    </w:trPr>
                    <w:tc>
                      <w:tcPr>
                        <w:tcW w:w="795" w:type="dxa"/>
                        <w:vMerge/>
                        <w:tcBorders>
                          <w:top w:val="nil"/>
                        </w:tcBorders>
                      </w:tcPr>
                      <w:p>
                        <w:pPr>
                          <w:rPr>
                            <w:sz w:val="2"/>
                            <w:szCs w:val="2"/>
                          </w:rPr>
                        </w:pPr>
                      </w:p>
                    </w:tc>
                    <w:tc>
                      <w:tcPr>
                        <w:tcW w:w="1100"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8"/>
                          <w:rPr>
                            <w:sz w:val="11"/>
                          </w:rPr>
                        </w:pPr>
                      </w:p>
                      <w:p>
                        <w:pPr>
                          <w:pStyle w:val="TableParagraph"/>
                          <w:ind w:left="4"/>
                          <w:rPr>
                            <w:sz w:val="13"/>
                          </w:rPr>
                        </w:pPr>
                        <w:r>
                          <w:rPr>
                            <w:spacing w:val="-16"/>
                            <w:w w:val="95"/>
                            <w:sz w:val="13"/>
                          </w:rPr>
                          <w:t>长期影响力</w:t>
                        </w:r>
                        <w:r>
                          <w:rPr>
                            <w:spacing w:val="-8"/>
                            <w:w w:val="95"/>
                            <w:sz w:val="13"/>
                          </w:rPr>
                          <w:t>（10</w:t>
                        </w:r>
                        <w:r>
                          <w:rPr>
                            <w:spacing w:val="-25"/>
                            <w:w w:val="95"/>
                            <w:sz w:val="13"/>
                          </w:rPr>
                          <w:t> 分</w:t>
                        </w:r>
                        <w:r>
                          <w:rPr>
                            <w:w w:val="95"/>
                            <w:sz w:val="13"/>
                          </w:rPr>
                          <w:t>）</w:t>
                        </w:r>
                      </w:p>
                    </w:tc>
                    <w:tc>
                      <w:tcPr>
                        <w:tcW w:w="938" w:type="dxa"/>
                      </w:tcPr>
                      <w:p>
                        <w:pPr>
                          <w:pStyle w:val="TableParagraph"/>
                          <w:spacing w:before="40"/>
                          <w:ind w:left="243"/>
                          <w:rPr>
                            <w:sz w:val="13"/>
                          </w:rPr>
                        </w:pPr>
                        <w:r>
                          <w:rPr>
                            <w:sz w:val="13"/>
                          </w:rPr>
                          <w:t>长效管理</w:t>
                        </w:r>
                      </w:p>
                    </w:tc>
                    <w:tc>
                      <w:tcPr>
                        <w:tcW w:w="1023" w:type="dxa"/>
                      </w:tcPr>
                      <w:p>
                        <w:pPr>
                          <w:pStyle w:val="TableParagraph"/>
                          <w:spacing w:before="40"/>
                          <w:ind w:left="181"/>
                          <w:rPr>
                            <w:sz w:val="13"/>
                          </w:rPr>
                        </w:pPr>
                        <w:r>
                          <w:rPr>
                            <w:sz w:val="13"/>
                          </w:rPr>
                          <w:t>长效管理机制</w:t>
                        </w:r>
                      </w:p>
                    </w:tc>
                    <w:tc>
                      <w:tcPr>
                        <w:tcW w:w="866" w:type="dxa"/>
                      </w:tcPr>
                      <w:p>
                        <w:pPr>
                          <w:pStyle w:val="TableParagraph"/>
                          <w:spacing w:before="40"/>
                          <w:ind w:right="2"/>
                          <w:jc w:val="center"/>
                          <w:rPr>
                            <w:sz w:val="13"/>
                          </w:rPr>
                        </w:pPr>
                        <w:r>
                          <w:rPr>
                            <w:sz w:val="13"/>
                          </w:rPr>
                          <w:t>健全</w:t>
                        </w:r>
                      </w:p>
                    </w:tc>
                    <w:tc>
                      <w:tcPr>
                        <w:tcW w:w="734" w:type="dxa"/>
                      </w:tcPr>
                      <w:p>
                        <w:pPr>
                          <w:pStyle w:val="TableParagraph"/>
                          <w:spacing w:before="40"/>
                          <w:ind w:right="197"/>
                          <w:jc w:val="right"/>
                          <w:rPr>
                            <w:sz w:val="13"/>
                          </w:rPr>
                        </w:pPr>
                        <w:r>
                          <w:rPr>
                            <w:w w:val="90"/>
                            <w:sz w:val="13"/>
                          </w:rPr>
                          <w:t>健全</w:t>
                        </w:r>
                      </w:p>
                    </w:tc>
                    <w:tc>
                      <w:tcPr>
                        <w:tcW w:w="655" w:type="dxa"/>
                        <w:vMerge w:val="restart"/>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8"/>
                          <w:rPr>
                            <w:sz w:val="11"/>
                          </w:rPr>
                        </w:pPr>
                      </w:p>
                      <w:p>
                        <w:pPr>
                          <w:pStyle w:val="TableParagraph"/>
                          <w:ind w:left="125" w:right="135"/>
                          <w:jc w:val="center"/>
                          <w:rPr>
                            <w:sz w:val="13"/>
                          </w:rPr>
                        </w:pPr>
                        <w:r>
                          <w:rPr>
                            <w:sz w:val="13"/>
                          </w:rPr>
                          <w:t>10</w:t>
                        </w:r>
                      </w:p>
                    </w:tc>
                    <w:tc>
                      <w:tcPr>
                        <w:tcW w:w="382" w:type="dxa"/>
                      </w:tcPr>
                      <w:p>
                        <w:pPr>
                          <w:pStyle w:val="TableParagraph"/>
                          <w:spacing w:before="40"/>
                          <w:ind w:left="4"/>
                          <w:rPr>
                            <w:sz w:val="13"/>
                          </w:rPr>
                        </w:pPr>
                        <w:r>
                          <w:rPr>
                            <w:sz w:val="13"/>
                          </w:rPr>
                          <w:t>10</w:t>
                        </w:r>
                      </w:p>
                    </w:tc>
                    <w:tc>
                      <w:tcPr>
                        <w:tcW w:w="2369" w:type="dxa"/>
                      </w:tcPr>
                      <w:p>
                        <w:pPr>
                          <w:pStyle w:val="TableParagraph"/>
                          <w:spacing w:line="200" w:lineRule="atLeast" w:before="6"/>
                          <w:ind w:left="4" w:right="764"/>
                          <w:rPr>
                            <w:sz w:val="13"/>
                          </w:rPr>
                        </w:pPr>
                        <w:r>
                          <w:rPr>
                            <w:spacing w:val="-17"/>
                            <w:w w:val="90"/>
                            <w:sz w:val="13"/>
                          </w:rPr>
                          <w:t>反映项目实施后是否可长期产生效益，根据项目实际细化具体指标。</w:t>
                        </w:r>
                      </w:p>
                    </w:tc>
                    <w:tc>
                      <w:tcPr>
                        <w:tcW w:w="2049" w:type="dxa"/>
                        <w:vMerge w:val="restart"/>
                        <w:tcBorders>
                          <w:bottom w:val="single" w:sz="4" w:space="0" w:color="D2D2D2"/>
                        </w:tcBorders>
                      </w:tcPr>
                      <w:p>
                        <w:pPr>
                          <w:pStyle w:val="TableParagraph"/>
                          <w:rPr>
                            <w:rFonts w:ascii="Times New Roman"/>
                            <w:sz w:val="12"/>
                          </w:rPr>
                        </w:pPr>
                      </w:p>
                    </w:tc>
                  </w:tr>
                  <w:tr>
                    <w:trPr>
                      <w:trHeight w:val="237"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ind w:left="260"/>
                          <w:rPr>
                            <w:sz w:val="13"/>
                          </w:rPr>
                        </w:pPr>
                        <w:r>
                          <w:rPr>
                            <w:sz w:val="13"/>
                          </w:rPr>
                          <w:t>人力资源</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tcBorders>
                          <w:top w:val="nil"/>
                        </w:tcBorders>
                      </w:tcPr>
                      <w:p>
                        <w:pPr>
                          <w:rPr>
                            <w:sz w:val="2"/>
                            <w:szCs w:val="2"/>
                          </w:rPr>
                        </w:pPr>
                      </w:p>
                    </w:tc>
                    <w:tc>
                      <w:tcPr>
                        <w:tcW w:w="382" w:type="dxa"/>
                      </w:tcPr>
                      <w:p>
                        <w:pPr>
                          <w:pStyle w:val="TableParagraph"/>
                          <w:rPr>
                            <w:rFonts w:ascii="Times New Roman"/>
                            <w:sz w:val="12"/>
                          </w:rPr>
                        </w:pPr>
                      </w:p>
                    </w:tc>
                    <w:tc>
                      <w:tcPr>
                        <w:tcW w:w="2369" w:type="dxa"/>
                      </w:tcPr>
                      <w:p>
                        <w:pPr>
                          <w:pStyle w:val="TableParagraph"/>
                          <w:spacing w:line="109" w:lineRule="exact"/>
                          <w:ind w:left="18"/>
                          <w:rPr>
                            <w:sz w:val="13"/>
                          </w:rPr>
                        </w:pPr>
                        <w:r>
                          <w:rPr>
                            <w:spacing w:val="-12"/>
                            <w:w w:val="90"/>
                            <w:sz w:val="13"/>
                          </w:rPr>
                          <w:t>反映项目实施后受益对象能力、水平是否获得提</w:t>
                        </w:r>
                      </w:p>
                      <w:p>
                        <w:pPr>
                          <w:pStyle w:val="TableParagraph"/>
                          <w:spacing w:line="109" w:lineRule="exact"/>
                          <w:ind w:left="18"/>
                          <w:rPr>
                            <w:sz w:val="13"/>
                          </w:rPr>
                        </w:pPr>
                        <w:r>
                          <w:rPr>
                            <w:sz w:val="13"/>
                          </w:rPr>
                          <w:t>升，根据项目实际细化具体指标。</w:t>
                        </w:r>
                      </w:p>
                    </w:tc>
                    <w:tc>
                      <w:tcPr>
                        <w:tcW w:w="2049" w:type="dxa"/>
                        <w:vMerge/>
                        <w:tcBorders>
                          <w:top w:val="nil"/>
                          <w:bottom w:val="single" w:sz="4" w:space="0" w:color="D2D2D2"/>
                        </w:tcBorders>
                      </w:tcPr>
                      <w:p>
                        <w:pPr>
                          <w:rPr>
                            <w:sz w:val="2"/>
                            <w:szCs w:val="2"/>
                          </w:rPr>
                        </w:pPr>
                      </w:p>
                    </w:tc>
                  </w:tr>
                  <w:tr>
                    <w:trPr>
                      <w:trHeight w:val="244"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ind w:left="303"/>
                          <w:rPr>
                            <w:sz w:val="13"/>
                          </w:rPr>
                        </w:pPr>
                        <w:r>
                          <w:rPr>
                            <w:sz w:val="13"/>
                          </w:rPr>
                          <w:t>部门协助</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tcBorders>
                          <w:top w:val="nil"/>
                        </w:tcBorders>
                      </w:tcPr>
                      <w:p>
                        <w:pPr>
                          <w:rPr>
                            <w:sz w:val="2"/>
                            <w:szCs w:val="2"/>
                          </w:rPr>
                        </w:pPr>
                      </w:p>
                    </w:tc>
                    <w:tc>
                      <w:tcPr>
                        <w:tcW w:w="382" w:type="dxa"/>
                      </w:tcPr>
                      <w:p>
                        <w:pPr>
                          <w:pStyle w:val="TableParagraph"/>
                          <w:rPr>
                            <w:rFonts w:ascii="Times New Roman"/>
                            <w:sz w:val="12"/>
                          </w:rPr>
                        </w:pPr>
                      </w:p>
                    </w:tc>
                    <w:tc>
                      <w:tcPr>
                        <w:tcW w:w="2369" w:type="dxa"/>
                      </w:tcPr>
                      <w:p>
                        <w:pPr>
                          <w:pStyle w:val="TableParagraph"/>
                          <w:spacing w:line="98" w:lineRule="exact"/>
                          <w:ind w:left="18"/>
                          <w:rPr>
                            <w:sz w:val="13"/>
                          </w:rPr>
                        </w:pPr>
                        <w:r>
                          <w:rPr>
                            <w:sz w:val="13"/>
                          </w:rPr>
                          <w:t>反映项目实施后部门间工作协作是</w:t>
                        </w:r>
                      </w:p>
                      <w:p>
                        <w:pPr>
                          <w:pStyle w:val="TableParagraph"/>
                          <w:spacing w:line="126" w:lineRule="exact"/>
                          <w:ind w:left="18"/>
                          <w:rPr>
                            <w:sz w:val="13"/>
                          </w:rPr>
                        </w:pPr>
                        <w:r>
                          <w:rPr>
                            <w:spacing w:val="-17"/>
                            <w:sz w:val="13"/>
                          </w:rPr>
                          <w:t>否获得提升，根据项目实际细化具体指标。</w:t>
                        </w:r>
                      </w:p>
                    </w:tc>
                    <w:tc>
                      <w:tcPr>
                        <w:tcW w:w="2049" w:type="dxa"/>
                        <w:vMerge/>
                        <w:tcBorders>
                          <w:top w:val="nil"/>
                          <w:bottom w:val="single" w:sz="4" w:space="0" w:color="D2D2D2"/>
                        </w:tcBorders>
                      </w:tcPr>
                      <w:p>
                        <w:pPr>
                          <w:rPr>
                            <w:sz w:val="2"/>
                            <w:szCs w:val="2"/>
                          </w:rPr>
                        </w:pPr>
                      </w:p>
                    </w:tc>
                  </w:tr>
                  <w:tr>
                    <w:trPr>
                      <w:trHeight w:val="337"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spacing w:before="4"/>
                          <w:rPr>
                            <w:sz w:val="13"/>
                          </w:rPr>
                        </w:pPr>
                      </w:p>
                      <w:p>
                        <w:pPr>
                          <w:pStyle w:val="TableParagraph"/>
                          <w:spacing w:line="147" w:lineRule="exact"/>
                          <w:ind w:left="323"/>
                          <w:rPr>
                            <w:sz w:val="13"/>
                          </w:rPr>
                        </w:pPr>
                        <w:r>
                          <w:rPr>
                            <w:sz w:val="13"/>
                          </w:rPr>
                          <w:t>配套措施</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tcBorders>
                          <w:top w:val="nil"/>
                        </w:tcBorders>
                      </w:tcPr>
                      <w:p>
                        <w:pPr>
                          <w:rPr>
                            <w:sz w:val="2"/>
                            <w:szCs w:val="2"/>
                          </w:rPr>
                        </w:pPr>
                      </w:p>
                    </w:tc>
                    <w:tc>
                      <w:tcPr>
                        <w:tcW w:w="382" w:type="dxa"/>
                      </w:tcPr>
                      <w:p>
                        <w:pPr>
                          <w:pStyle w:val="TableParagraph"/>
                          <w:rPr>
                            <w:rFonts w:ascii="Times New Roman"/>
                            <w:sz w:val="12"/>
                          </w:rPr>
                        </w:pPr>
                      </w:p>
                    </w:tc>
                    <w:tc>
                      <w:tcPr>
                        <w:tcW w:w="2369" w:type="dxa"/>
                      </w:tcPr>
                      <w:p>
                        <w:pPr>
                          <w:pStyle w:val="TableParagraph"/>
                          <w:spacing w:line="98" w:lineRule="exact"/>
                          <w:ind w:left="18"/>
                          <w:rPr>
                            <w:sz w:val="13"/>
                          </w:rPr>
                        </w:pPr>
                        <w:r>
                          <w:rPr>
                            <w:sz w:val="13"/>
                          </w:rPr>
                          <w:t>反映项目实施后续管理制度是否获</w:t>
                        </w:r>
                      </w:p>
                      <w:p>
                        <w:pPr>
                          <w:pStyle w:val="TableParagraph"/>
                          <w:spacing w:line="141" w:lineRule="exact"/>
                          <w:ind w:left="18"/>
                          <w:rPr>
                            <w:sz w:val="13"/>
                          </w:rPr>
                        </w:pPr>
                        <w:r>
                          <w:rPr>
                            <w:sz w:val="13"/>
                          </w:rPr>
                          <w:t>得完善，根据项目实际细化具体指标。</w:t>
                        </w:r>
                      </w:p>
                    </w:tc>
                    <w:tc>
                      <w:tcPr>
                        <w:tcW w:w="2049" w:type="dxa"/>
                        <w:vMerge/>
                        <w:tcBorders>
                          <w:top w:val="nil"/>
                          <w:bottom w:val="single" w:sz="4" w:space="0" w:color="D2D2D2"/>
                        </w:tcBorders>
                      </w:tcPr>
                      <w:p>
                        <w:pPr>
                          <w:rPr>
                            <w:sz w:val="2"/>
                            <w:szCs w:val="2"/>
                          </w:rPr>
                        </w:pPr>
                      </w:p>
                    </w:tc>
                  </w:tr>
                  <w:tr>
                    <w:trPr>
                      <w:trHeight w:val="215" w:hRule="atLeast"/>
                    </w:trPr>
                    <w:tc>
                      <w:tcPr>
                        <w:tcW w:w="795" w:type="dxa"/>
                        <w:vMerge/>
                        <w:tcBorders>
                          <w:top w:val="nil"/>
                        </w:tcBorders>
                      </w:tcPr>
                      <w:p>
                        <w:pPr>
                          <w:rPr>
                            <w:sz w:val="2"/>
                            <w:szCs w:val="2"/>
                          </w:rPr>
                        </w:pPr>
                      </w:p>
                    </w:tc>
                    <w:tc>
                      <w:tcPr>
                        <w:tcW w:w="1100" w:type="dxa"/>
                        <w:vMerge/>
                        <w:tcBorders>
                          <w:top w:val="nil"/>
                        </w:tcBorders>
                      </w:tcPr>
                      <w:p>
                        <w:pPr>
                          <w:rPr>
                            <w:sz w:val="2"/>
                            <w:szCs w:val="2"/>
                          </w:rPr>
                        </w:pPr>
                      </w:p>
                    </w:tc>
                    <w:tc>
                      <w:tcPr>
                        <w:tcW w:w="938" w:type="dxa"/>
                      </w:tcPr>
                      <w:p>
                        <w:pPr>
                          <w:pStyle w:val="TableParagraph"/>
                          <w:spacing w:line="149" w:lineRule="exact" w:before="46"/>
                          <w:ind w:left="323"/>
                          <w:rPr>
                            <w:sz w:val="13"/>
                          </w:rPr>
                        </w:pPr>
                        <w:r>
                          <w:rPr>
                            <w:sz w:val="13"/>
                          </w:rPr>
                          <w:t>信息共享</w:t>
                        </w:r>
                      </w:p>
                    </w:tc>
                    <w:tc>
                      <w:tcPr>
                        <w:tcW w:w="1023" w:type="dxa"/>
                      </w:tcPr>
                      <w:p>
                        <w:pPr>
                          <w:pStyle w:val="TableParagraph"/>
                          <w:rPr>
                            <w:rFonts w:ascii="Times New Roman"/>
                            <w:sz w:val="12"/>
                          </w:rPr>
                        </w:pPr>
                      </w:p>
                    </w:tc>
                    <w:tc>
                      <w:tcPr>
                        <w:tcW w:w="866" w:type="dxa"/>
                      </w:tcPr>
                      <w:p>
                        <w:pPr>
                          <w:pStyle w:val="TableParagraph"/>
                          <w:rPr>
                            <w:rFonts w:ascii="Times New Roman"/>
                            <w:sz w:val="12"/>
                          </w:rPr>
                        </w:pPr>
                      </w:p>
                    </w:tc>
                    <w:tc>
                      <w:tcPr>
                        <w:tcW w:w="734" w:type="dxa"/>
                      </w:tcPr>
                      <w:p>
                        <w:pPr>
                          <w:pStyle w:val="TableParagraph"/>
                          <w:rPr>
                            <w:rFonts w:ascii="Times New Roman"/>
                            <w:sz w:val="12"/>
                          </w:rPr>
                        </w:pPr>
                      </w:p>
                    </w:tc>
                    <w:tc>
                      <w:tcPr>
                        <w:tcW w:w="655" w:type="dxa"/>
                        <w:vMerge/>
                        <w:tcBorders>
                          <w:top w:val="nil"/>
                        </w:tcBorders>
                      </w:tcPr>
                      <w:p>
                        <w:pPr>
                          <w:rPr>
                            <w:sz w:val="2"/>
                            <w:szCs w:val="2"/>
                          </w:rPr>
                        </w:pPr>
                      </w:p>
                    </w:tc>
                    <w:tc>
                      <w:tcPr>
                        <w:tcW w:w="382" w:type="dxa"/>
                      </w:tcPr>
                      <w:p>
                        <w:pPr>
                          <w:pStyle w:val="TableParagraph"/>
                          <w:rPr>
                            <w:rFonts w:ascii="Times New Roman"/>
                            <w:sz w:val="12"/>
                          </w:rPr>
                        </w:pPr>
                      </w:p>
                    </w:tc>
                    <w:tc>
                      <w:tcPr>
                        <w:tcW w:w="2369" w:type="dxa"/>
                      </w:tcPr>
                      <w:p>
                        <w:pPr>
                          <w:pStyle w:val="TableParagraph"/>
                          <w:spacing w:line="127" w:lineRule="auto" w:before="18"/>
                          <w:ind w:left="18" w:right="749"/>
                          <w:rPr>
                            <w:sz w:val="13"/>
                          </w:rPr>
                        </w:pPr>
                        <w:r>
                          <w:rPr>
                            <w:spacing w:val="-17"/>
                            <w:w w:val="90"/>
                            <w:sz w:val="13"/>
                          </w:rPr>
                          <w:t>反映项目实施后信息共享功能是否</w:t>
                        </w:r>
                        <w:r>
                          <w:rPr>
                            <w:spacing w:val="-16"/>
                            <w:w w:val="95"/>
                            <w:sz w:val="13"/>
                          </w:rPr>
                          <w:t>实现，信息化项目使用该指标。</w:t>
                        </w:r>
                      </w:p>
                    </w:tc>
                    <w:tc>
                      <w:tcPr>
                        <w:tcW w:w="2049" w:type="dxa"/>
                        <w:vMerge/>
                        <w:tcBorders>
                          <w:top w:val="nil"/>
                          <w:bottom w:val="single" w:sz="4" w:space="0" w:color="D2D2D2"/>
                        </w:tcBorders>
                      </w:tcPr>
                      <w:p>
                        <w:pPr>
                          <w:rPr>
                            <w:sz w:val="2"/>
                            <w:szCs w:val="2"/>
                          </w:rPr>
                        </w:pPr>
                      </w:p>
                    </w:tc>
                  </w:tr>
                  <w:tr>
                    <w:trPr>
                      <w:trHeight w:val="207" w:hRule="atLeast"/>
                    </w:trPr>
                    <w:tc>
                      <w:tcPr>
                        <w:tcW w:w="4722" w:type="dxa"/>
                        <w:gridSpan w:val="5"/>
                      </w:tcPr>
                      <w:p>
                        <w:pPr>
                          <w:pStyle w:val="TableParagraph"/>
                          <w:spacing w:line="145" w:lineRule="exact" w:before="41"/>
                          <w:ind w:left="5"/>
                          <w:rPr>
                            <w:sz w:val="13"/>
                          </w:rPr>
                        </w:pPr>
                        <w:r>
                          <w:rPr>
                            <w:sz w:val="13"/>
                          </w:rPr>
                          <w:t>评价结论</w:t>
                        </w:r>
                      </w:p>
                    </w:tc>
                    <w:tc>
                      <w:tcPr>
                        <w:tcW w:w="6189" w:type="dxa"/>
                        <w:gridSpan w:val="5"/>
                        <w:tcBorders>
                          <w:top w:val="single" w:sz="4" w:space="0" w:color="D2D2D2"/>
                        </w:tcBorders>
                      </w:tcPr>
                      <w:p>
                        <w:pPr>
                          <w:pStyle w:val="TableParagraph"/>
                          <w:spacing w:line="145" w:lineRule="exact" w:before="41"/>
                          <w:ind w:left="4"/>
                          <w:rPr>
                            <w:sz w:val="13"/>
                          </w:rPr>
                        </w:pPr>
                        <w:r>
                          <w:rPr>
                            <w:spacing w:val="-12"/>
                            <w:w w:val="90"/>
                            <w:sz w:val="13"/>
                          </w:rPr>
                          <w:t>项目自评总分</w:t>
                        </w:r>
                        <w:r>
                          <w:rPr>
                            <w:spacing w:val="-4"/>
                            <w:w w:val="90"/>
                            <w:sz w:val="13"/>
                          </w:rPr>
                          <w:t>100</w:t>
                        </w:r>
                        <w:r>
                          <w:rPr>
                            <w:spacing w:val="-24"/>
                            <w:w w:val="90"/>
                            <w:sz w:val="13"/>
                          </w:rPr>
                          <w:t> 分，学校严格按照项目进度，合理安排资金，保证了《运转补助》项目工作按计划进行，现全年目标任务已全部完成</w:t>
                        </w:r>
                      </w:p>
                    </w:tc>
                  </w:tr>
                  <w:tr>
                    <w:trPr>
                      <w:trHeight w:val="205" w:hRule="atLeast"/>
                    </w:trPr>
                    <w:tc>
                      <w:tcPr>
                        <w:tcW w:w="4722" w:type="dxa"/>
                        <w:gridSpan w:val="5"/>
                      </w:tcPr>
                      <w:p>
                        <w:pPr>
                          <w:pStyle w:val="TableParagraph"/>
                          <w:spacing w:line="145" w:lineRule="exact" w:before="40"/>
                          <w:ind w:left="5"/>
                          <w:rPr>
                            <w:sz w:val="13"/>
                          </w:rPr>
                        </w:pPr>
                        <w:r>
                          <w:rPr>
                            <w:sz w:val="13"/>
                          </w:rPr>
                          <w:t>存在问题</w:t>
                        </w:r>
                      </w:p>
                    </w:tc>
                    <w:tc>
                      <w:tcPr>
                        <w:tcW w:w="6189" w:type="dxa"/>
                        <w:gridSpan w:val="5"/>
                      </w:tcPr>
                      <w:p>
                        <w:pPr>
                          <w:pStyle w:val="TableParagraph"/>
                          <w:spacing w:line="145" w:lineRule="exact" w:before="40"/>
                          <w:ind w:left="4"/>
                          <w:rPr>
                            <w:sz w:val="13"/>
                          </w:rPr>
                        </w:pPr>
                        <w:r>
                          <w:rPr>
                            <w:w w:val="92"/>
                            <w:sz w:val="13"/>
                          </w:rPr>
                          <w:t>无</w:t>
                        </w:r>
                      </w:p>
                    </w:tc>
                  </w:tr>
                  <w:tr>
                    <w:trPr>
                      <w:trHeight w:val="207" w:hRule="atLeast"/>
                    </w:trPr>
                    <w:tc>
                      <w:tcPr>
                        <w:tcW w:w="4722" w:type="dxa"/>
                        <w:gridSpan w:val="5"/>
                      </w:tcPr>
                      <w:p>
                        <w:pPr>
                          <w:pStyle w:val="TableParagraph"/>
                          <w:spacing w:line="146" w:lineRule="exact" w:before="41"/>
                          <w:ind w:left="5"/>
                          <w:rPr>
                            <w:sz w:val="13"/>
                          </w:rPr>
                        </w:pPr>
                        <w:r>
                          <w:rPr>
                            <w:sz w:val="13"/>
                          </w:rPr>
                          <w:t>改进措施</w:t>
                        </w:r>
                      </w:p>
                    </w:tc>
                    <w:tc>
                      <w:tcPr>
                        <w:tcW w:w="6189" w:type="dxa"/>
                        <w:gridSpan w:val="5"/>
                      </w:tcPr>
                      <w:p>
                        <w:pPr>
                          <w:pStyle w:val="TableParagraph"/>
                          <w:spacing w:line="146" w:lineRule="exact" w:before="41"/>
                          <w:ind w:left="4"/>
                          <w:rPr>
                            <w:sz w:val="13"/>
                          </w:rPr>
                        </w:pPr>
                        <w:r>
                          <w:rPr>
                            <w:w w:val="92"/>
                            <w:sz w:val="13"/>
                          </w:rPr>
                          <w:t>无</w:t>
                        </w:r>
                      </w:p>
                    </w:tc>
                  </w:tr>
                </w:tbl>
                <w:p>
                  <w:pPr>
                    <w:pStyle w:val="BodyText"/>
                  </w:pPr>
                </w:p>
              </w:txbxContent>
            </v:textbox>
            <w10:wrap type="none"/>
          </v:shape>
        </w:pict>
      </w:r>
      <w:r>
        <w:rPr>
          <w:rFonts w:ascii="仿宋" w:eastAsia="仿宋" w:hint="eastAsia"/>
          <w:w w:val="100"/>
          <w:sz w:val="16"/>
        </w:rPr>
        <w:t>）</w:t>
      </w:r>
    </w:p>
    <w:p>
      <w:pPr>
        <w:pStyle w:val="BodyText"/>
        <w:rPr>
          <w:rFonts w:ascii="仿宋"/>
          <w:sz w:val="20"/>
        </w:rPr>
      </w:pPr>
    </w:p>
    <w:p>
      <w:pPr>
        <w:pStyle w:val="BodyText"/>
        <w:rPr>
          <w:rFonts w:ascii="仿宋"/>
          <w:sz w:val="20"/>
        </w:rPr>
      </w:pPr>
    </w:p>
    <w:p>
      <w:pPr>
        <w:pStyle w:val="BodyText"/>
        <w:rPr>
          <w:rFonts w:ascii="仿宋"/>
          <w:sz w:val="20"/>
        </w:rPr>
      </w:pPr>
    </w:p>
    <w:p>
      <w:pPr>
        <w:pStyle w:val="BodyText"/>
        <w:spacing w:before="2"/>
        <w:rPr>
          <w:rFonts w:ascii="仿宋"/>
          <w:sz w:val="17"/>
        </w:rPr>
      </w:pPr>
      <w:r>
        <w:rPr/>
        <w:pict>
          <v:rect style="position:absolute;margin-left:518.349976pt;margin-top:12.9625pt;width:.1pt;height:.6pt;mso-position-horizontal-relative:page;mso-position-vertical-relative:paragraph;z-index:-251653120;mso-wrap-distance-left:0;mso-wrap-distance-right:0" filled="true" fillcolor="#d2d2d2" stroked="false">
            <v:fill type="solid"/>
            <w10:wrap type="topAndBottom"/>
          </v:rect>
        </w:pict>
      </w:r>
    </w:p>
    <w:p>
      <w:pPr>
        <w:pStyle w:val="BodyText"/>
        <w:spacing w:before="7"/>
        <w:rPr>
          <w:rFonts w:ascii="仿宋"/>
          <w:sz w:val="6"/>
        </w:rPr>
      </w:pPr>
    </w:p>
    <w:p>
      <w:pPr>
        <w:pStyle w:val="BodyText"/>
        <w:spacing w:line="20" w:lineRule="exact"/>
        <w:ind w:left="9707"/>
        <w:rPr>
          <w:rFonts w:ascii="仿宋"/>
          <w:sz w:val="2"/>
        </w:rPr>
      </w:pPr>
      <w:r>
        <w:rPr>
          <w:rFonts w:ascii="仿宋"/>
          <w:sz w:val="2"/>
        </w:rPr>
        <w:pict>
          <v:group style="width:.1pt;height:.6pt;mso-position-horizontal-relative:char;mso-position-vertical-relative:line" coordorigin="0,0" coordsize="2,12">
            <v:rect style="position:absolute;left:0;top:0;width:2;height:12" filled="true" fillcolor="#d2d2d2" stroked="false">
              <v:fill type="solid"/>
            </v:rect>
          </v:group>
        </w:pict>
      </w:r>
      <w:r>
        <w:rPr>
          <w:rFonts w:ascii="仿宋"/>
          <w:sz w:val="2"/>
        </w:rPr>
      </w:r>
    </w:p>
    <w:p>
      <w:pPr>
        <w:pStyle w:val="BodyText"/>
        <w:spacing w:before="1"/>
        <w:rPr>
          <w:rFonts w:ascii="仿宋"/>
          <w:sz w:val="5"/>
        </w:rPr>
      </w:pPr>
      <w:r>
        <w:rPr/>
        <w:pict>
          <v:rect style="position:absolute;margin-left:518.349976pt;margin-top:5.20625pt;width:.1pt;height:.6pt;mso-position-horizontal-relative:page;mso-position-vertical-relative:paragraph;z-index:-251651072;mso-wrap-distance-left:0;mso-wrap-distance-right:0" filled="true" fillcolor="#d2d2d2" stroked="false">
            <v:fill type="solid"/>
            <w10:wrap type="topAndBottom"/>
          </v:rect>
        </w:pict>
      </w: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rPr>
          <w:rFonts w:ascii="仿宋"/>
          <w:sz w:val="20"/>
        </w:rPr>
      </w:pPr>
    </w:p>
    <w:p>
      <w:pPr>
        <w:pStyle w:val="BodyText"/>
        <w:spacing w:before="2"/>
        <w:rPr>
          <w:rFonts w:ascii="仿宋"/>
          <w:sz w:val="22"/>
        </w:rPr>
      </w:pPr>
      <w:r>
        <w:rPr/>
        <w:pict>
          <v:rect style="position:absolute;margin-left:518.349976pt;margin-top:16.1500pt;width:.1pt;height:.6pt;mso-position-horizontal-relative:page;mso-position-vertical-relative:paragraph;z-index:-251650048;mso-wrap-distance-left:0;mso-wrap-distance-right:0" filled="true" fillcolor="#d2d2d2" stroked="false">
            <v:fill type="solid"/>
            <w10:wrap type="topAndBottom"/>
          </v:rect>
        </w:pict>
      </w:r>
    </w:p>
    <w:p>
      <w:pPr>
        <w:pStyle w:val="BodyText"/>
        <w:rPr>
          <w:rFonts w:ascii="仿宋"/>
          <w:sz w:val="20"/>
        </w:rPr>
      </w:pPr>
    </w:p>
    <w:p>
      <w:pPr>
        <w:pStyle w:val="BodyText"/>
        <w:spacing w:before="11"/>
        <w:rPr>
          <w:rFonts w:ascii="仿宋"/>
          <w:sz w:val="19"/>
        </w:rPr>
      </w:pPr>
      <w:r>
        <w:rPr/>
        <w:pict>
          <v:rect style="position:absolute;margin-left:518.349976pt;margin-top:14.6875pt;width:.1pt;height:.6pt;mso-position-horizontal-relative:page;mso-position-vertical-relative:paragraph;z-index:-251649024;mso-wrap-distance-left:0;mso-wrap-distance-right:0" filled="true" fillcolor="#d2d2d2" stroked="false">
            <v:fill type="solid"/>
            <w10:wrap type="topAndBottom"/>
          </v:rect>
        </w:pict>
      </w:r>
    </w:p>
    <w:p>
      <w:pPr>
        <w:pStyle w:val="BodyText"/>
        <w:rPr>
          <w:rFonts w:ascii="仿宋"/>
          <w:sz w:val="20"/>
        </w:rPr>
      </w:pPr>
    </w:p>
    <w:p>
      <w:pPr>
        <w:pStyle w:val="BodyText"/>
        <w:rPr>
          <w:rFonts w:ascii="仿宋"/>
          <w:sz w:val="20"/>
        </w:rPr>
      </w:pPr>
    </w:p>
    <w:p>
      <w:pPr>
        <w:pStyle w:val="BodyText"/>
        <w:spacing w:before="8"/>
        <w:rPr>
          <w:rFonts w:ascii="仿宋"/>
          <w:sz w:val="27"/>
        </w:rPr>
      </w:pPr>
      <w:r>
        <w:rPr/>
        <w:pict>
          <v:rect style="position:absolute;margin-left:518.349976pt;margin-top:19.674999pt;width:.1pt;height:.6pt;mso-position-horizontal-relative:page;mso-position-vertical-relative:paragraph;z-index:-251648000;mso-wrap-distance-left:0;mso-wrap-distance-right:0" filled="true" fillcolor="#d2d2d2" stroked="false">
            <v:fill type="solid"/>
            <w10:wrap type="topAndBottom"/>
          </v:rect>
        </w:pict>
      </w:r>
      <w:r>
        <w:rPr/>
        <w:pict>
          <v:rect style="position:absolute;margin-left:518.349976pt;margin-top:37.424999pt;width:.1pt;height:.6pt;mso-position-horizontal-relative:page;mso-position-vertical-relative:paragraph;z-index:-251646976;mso-wrap-distance-left:0;mso-wrap-distance-right:0" filled="true" fillcolor="#d2d2d2" stroked="false">
            <v:fill type="solid"/>
            <w10:wrap type="topAndBottom"/>
          </v:rect>
        </w:pict>
      </w:r>
      <w:r>
        <w:rPr/>
        <w:pict>
          <v:rect style="position:absolute;margin-left:518.349976pt;margin-top:55.174999pt;width:.1pt;height:.6pt;mso-position-horizontal-relative:page;mso-position-vertical-relative:paragraph;z-index:-251645952;mso-wrap-distance-left:0;mso-wrap-distance-right:0" filled="true" fillcolor="#d2d2d2" stroked="false">
            <v:fill type="solid"/>
            <w10:wrap type="topAndBottom"/>
          </v:rect>
        </w:pict>
      </w:r>
    </w:p>
    <w:p>
      <w:pPr>
        <w:pStyle w:val="BodyText"/>
        <w:spacing w:before="5"/>
        <w:rPr>
          <w:rFonts w:ascii="仿宋"/>
          <w:sz w:val="21"/>
        </w:rPr>
      </w:pPr>
    </w:p>
    <w:p>
      <w:pPr>
        <w:pStyle w:val="BodyText"/>
        <w:spacing w:before="5"/>
        <w:rPr>
          <w:rFonts w:ascii="仿宋"/>
          <w:sz w:val="21"/>
        </w:rPr>
      </w:pPr>
    </w:p>
    <w:p>
      <w:pPr>
        <w:pStyle w:val="BodyText"/>
        <w:rPr>
          <w:rFonts w:ascii="仿宋"/>
          <w:sz w:val="16"/>
        </w:rPr>
      </w:pPr>
    </w:p>
    <w:p>
      <w:pPr>
        <w:spacing w:before="120"/>
        <w:ind w:left="10932" w:right="0" w:firstLine="0"/>
        <w:jc w:val="left"/>
        <w:rPr>
          <w:rFonts w:ascii="仿宋" w:eastAsia="仿宋" w:hint="eastAsia"/>
          <w:sz w:val="13"/>
        </w:rPr>
      </w:pPr>
      <w:r>
        <w:rPr>
          <w:rFonts w:ascii="仿宋" w:eastAsia="仿宋" w:hint="eastAsia"/>
          <w:w w:val="92"/>
          <w:sz w:val="13"/>
        </w:rPr>
        <w:t>。</w:t>
      </w:r>
    </w:p>
    <w:p>
      <w:pPr>
        <w:pStyle w:val="BodyText"/>
        <w:rPr>
          <w:rFonts w:ascii="仿宋"/>
          <w:sz w:val="12"/>
        </w:rPr>
      </w:pPr>
    </w:p>
    <w:p>
      <w:pPr>
        <w:pStyle w:val="BodyText"/>
        <w:rPr>
          <w:rFonts w:ascii="仿宋"/>
          <w:sz w:val="12"/>
        </w:rPr>
      </w:pPr>
    </w:p>
    <w:p>
      <w:pPr>
        <w:pStyle w:val="BodyText"/>
        <w:spacing w:before="6"/>
        <w:rPr>
          <w:rFonts w:ascii="仿宋"/>
          <w:sz w:val="10"/>
        </w:rPr>
      </w:pPr>
    </w:p>
    <w:p>
      <w:pPr>
        <w:tabs>
          <w:tab w:pos="6614" w:val="left" w:leader="none"/>
        </w:tabs>
        <w:spacing w:before="1"/>
        <w:ind w:left="1310" w:right="0" w:firstLine="0"/>
        <w:jc w:val="left"/>
        <w:rPr>
          <w:rFonts w:ascii="仿宋" w:eastAsia="仿宋" w:hint="eastAsia"/>
          <w:sz w:val="10"/>
        </w:rPr>
      </w:pPr>
      <w:r>
        <w:rPr>
          <w:rFonts w:ascii="仿宋" w:eastAsia="仿宋" w:hint="eastAsia"/>
          <w:sz w:val="10"/>
        </w:rPr>
        <w:t>主</w:t>
      </w:r>
      <w:r>
        <w:rPr>
          <w:rFonts w:ascii="仿宋" w:eastAsia="仿宋" w:hint="eastAsia"/>
          <w:spacing w:val="-3"/>
          <w:sz w:val="10"/>
        </w:rPr>
        <w:t>管</w:t>
      </w:r>
      <w:r>
        <w:rPr>
          <w:rFonts w:ascii="仿宋" w:eastAsia="仿宋" w:hint="eastAsia"/>
          <w:sz w:val="10"/>
        </w:rPr>
        <w:t>部门</w:t>
      </w:r>
      <w:r>
        <w:rPr>
          <w:rFonts w:ascii="仿宋" w:eastAsia="仿宋" w:hint="eastAsia"/>
          <w:spacing w:val="-3"/>
          <w:sz w:val="10"/>
        </w:rPr>
        <w:t>审</w:t>
      </w:r>
      <w:r>
        <w:rPr>
          <w:rFonts w:ascii="仿宋" w:eastAsia="仿宋" w:hint="eastAsia"/>
          <w:sz w:val="10"/>
        </w:rPr>
        <w:t>核人：（签</w:t>
      </w:r>
      <w:r>
        <w:rPr>
          <w:rFonts w:ascii="仿宋" w:eastAsia="仿宋" w:hint="eastAsia"/>
          <w:spacing w:val="-3"/>
          <w:sz w:val="10"/>
        </w:rPr>
        <w:t>字</w:t>
      </w:r>
      <w:r>
        <w:rPr>
          <w:rFonts w:ascii="仿宋" w:eastAsia="仿宋" w:hint="eastAsia"/>
          <w:sz w:val="10"/>
        </w:rPr>
        <w:t>）</w:t>
        <w:tab/>
        <w:t>项</w:t>
      </w:r>
      <w:r>
        <w:rPr>
          <w:rFonts w:ascii="仿宋" w:eastAsia="仿宋" w:hint="eastAsia"/>
          <w:spacing w:val="-3"/>
          <w:sz w:val="10"/>
        </w:rPr>
        <w:t>目</w:t>
      </w:r>
      <w:r>
        <w:rPr>
          <w:rFonts w:ascii="仿宋" w:eastAsia="仿宋" w:hint="eastAsia"/>
          <w:sz w:val="10"/>
        </w:rPr>
        <w:t>实施</w:t>
      </w:r>
      <w:r>
        <w:rPr>
          <w:rFonts w:ascii="仿宋" w:eastAsia="仿宋" w:hint="eastAsia"/>
          <w:spacing w:val="-3"/>
          <w:sz w:val="10"/>
        </w:rPr>
        <w:t>单</w:t>
      </w:r>
      <w:r>
        <w:rPr>
          <w:rFonts w:ascii="仿宋" w:eastAsia="仿宋" w:hint="eastAsia"/>
          <w:sz w:val="10"/>
        </w:rPr>
        <w:t>位填</w:t>
      </w:r>
      <w:r>
        <w:rPr>
          <w:rFonts w:ascii="仿宋" w:eastAsia="仿宋" w:hint="eastAsia"/>
          <w:spacing w:val="-3"/>
          <w:sz w:val="10"/>
        </w:rPr>
        <w:t>报</w:t>
      </w:r>
      <w:r>
        <w:rPr>
          <w:rFonts w:ascii="仿宋" w:eastAsia="仿宋" w:hint="eastAsia"/>
          <w:sz w:val="10"/>
        </w:rPr>
        <w:t>人：（签字）</w:t>
      </w:r>
    </w:p>
    <w:p>
      <w:pPr>
        <w:pStyle w:val="BodyText"/>
        <w:spacing w:before="6"/>
        <w:rPr>
          <w:rFonts w:ascii="仿宋"/>
          <w:sz w:val="10"/>
        </w:rPr>
      </w:pPr>
    </w:p>
    <w:p>
      <w:pPr>
        <w:spacing w:line="244" w:lineRule="auto" w:before="0" w:after="14"/>
        <w:ind w:left="1646" w:right="2280" w:firstLine="0"/>
        <w:jc w:val="left"/>
        <w:rPr>
          <w:rFonts w:ascii="仿宋" w:hAnsi="仿宋" w:eastAsia="仿宋" w:hint="eastAsia"/>
          <w:sz w:val="13"/>
        </w:rPr>
      </w:pPr>
      <w:r>
        <w:rPr/>
        <w:pict>
          <v:rect style="position:absolute;margin-left:518.349976pt;margin-top:5.410007pt;width:.1pt;height:.6pt;mso-position-horizontal-relative:page;mso-position-vertical-relative:paragraph;z-index:251672576" filled="true" fillcolor="#d2d2d2" stroked="false">
            <v:fill type="solid"/>
            <w10:wrap type="none"/>
          </v:rect>
        </w:pict>
      </w:r>
      <w:r>
        <w:rPr>
          <w:rFonts w:ascii="仿宋" w:hAnsi="仿宋" w:eastAsia="仿宋" w:hint="eastAsia"/>
          <w:spacing w:val="-16"/>
          <w:w w:val="90"/>
          <w:sz w:val="13"/>
        </w:rPr>
        <w:t>填表说明：</w:t>
      </w:r>
      <w:r>
        <w:rPr>
          <w:rFonts w:ascii="仿宋" w:hAnsi="仿宋" w:eastAsia="仿宋" w:hint="eastAsia"/>
          <w:spacing w:val="-13"/>
          <w:w w:val="90"/>
          <w:sz w:val="13"/>
        </w:rPr>
        <w:t>1</w:t>
      </w:r>
      <w:r>
        <w:rPr>
          <w:rFonts w:ascii="仿宋" w:hAnsi="仿宋" w:eastAsia="仿宋" w:hint="eastAsia"/>
          <w:spacing w:val="-18"/>
          <w:w w:val="90"/>
          <w:sz w:val="13"/>
        </w:rPr>
        <w:t>.效果指标的指标名称和预期值由部门根据项目绩效目标申报表或项目实际在三级指标后逐项填写，如一个项目预算是预计采购</w:t>
      </w:r>
      <w:r>
        <w:rPr>
          <w:rFonts w:ascii="仿宋" w:hAnsi="仿宋" w:eastAsia="仿宋" w:hint="eastAsia"/>
          <w:spacing w:val="-3"/>
          <w:w w:val="90"/>
          <w:sz w:val="13"/>
        </w:rPr>
        <w:t>50</w:t>
      </w:r>
      <w:r>
        <w:rPr>
          <w:rFonts w:ascii="仿宋" w:hAnsi="仿宋" w:eastAsia="仿宋" w:hint="eastAsia"/>
          <w:spacing w:val="-12"/>
          <w:w w:val="90"/>
          <w:sz w:val="13"/>
        </w:rPr>
        <w:t>  台计算机，则在</w:t>
      </w:r>
      <w:r>
        <w:rPr>
          <w:rFonts w:ascii="仿宋" w:hAnsi="仿宋" w:eastAsia="仿宋" w:hint="eastAsia"/>
          <w:spacing w:val="-16"/>
          <w:w w:val="95"/>
          <w:sz w:val="13"/>
        </w:rPr>
        <w:t>完成数量三级指标后，设定“采购数量”的指标名称，按</w:t>
      </w:r>
      <w:r>
        <w:rPr>
          <w:rFonts w:ascii="仿宋" w:hAnsi="仿宋" w:eastAsia="仿宋" w:hint="eastAsia"/>
          <w:spacing w:val="-3"/>
          <w:w w:val="95"/>
          <w:sz w:val="13"/>
        </w:rPr>
        <w:t>50</w:t>
      </w:r>
      <w:r>
        <w:rPr>
          <w:rFonts w:ascii="仿宋" w:hAnsi="仿宋" w:eastAsia="仿宋" w:hint="eastAsia"/>
          <w:spacing w:val="-21"/>
          <w:w w:val="95"/>
          <w:sz w:val="13"/>
        </w:rPr>
        <w:t> 台填预期值。完成值是实际完成情况，如此项目最终采购了</w:t>
      </w:r>
      <w:r>
        <w:rPr>
          <w:rFonts w:ascii="仿宋" w:hAnsi="仿宋" w:eastAsia="仿宋" w:hint="eastAsia"/>
          <w:spacing w:val="-3"/>
          <w:w w:val="95"/>
          <w:sz w:val="13"/>
        </w:rPr>
        <w:t>48</w:t>
      </w:r>
      <w:r>
        <w:rPr>
          <w:rFonts w:ascii="仿宋" w:hAnsi="仿宋" w:eastAsia="仿宋" w:hint="eastAsia"/>
          <w:spacing w:val="-18"/>
          <w:w w:val="95"/>
          <w:sz w:val="13"/>
        </w:rPr>
        <w:t> 台，则完成值填</w:t>
      </w:r>
      <w:r>
        <w:rPr>
          <w:rFonts w:ascii="仿宋" w:hAnsi="仿宋" w:eastAsia="仿宋" w:hint="eastAsia"/>
          <w:spacing w:val="-3"/>
          <w:w w:val="95"/>
          <w:sz w:val="13"/>
        </w:rPr>
        <w:t>48</w:t>
      </w:r>
      <w:r>
        <w:rPr>
          <w:rFonts w:ascii="仿宋" w:hAnsi="仿宋" w:eastAsia="仿宋" w:hint="eastAsia"/>
          <w:spacing w:val="-22"/>
          <w:w w:val="95"/>
          <w:sz w:val="13"/>
        </w:rPr>
        <w:t> 台。</w:t>
      </w:r>
    </w:p>
    <w:p>
      <w:pPr>
        <w:pStyle w:val="BodyText"/>
        <w:spacing w:line="20" w:lineRule="exact"/>
        <w:ind w:left="9707"/>
        <w:rPr>
          <w:rFonts w:ascii="仿宋"/>
          <w:sz w:val="2"/>
        </w:rPr>
      </w:pPr>
      <w:r>
        <w:rPr>
          <w:rFonts w:ascii="仿宋"/>
          <w:sz w:val="2"/>
        </w:rPr>
        <w:pict>
          <v:group style="width:.1pt;height:.6pt;mso-position-horizontal-relative:char;mso-position-vertical-relative:line" coordorigin="0,0" coordsize="2,12">
            <v:rect style="position:absolute;left:0;top:0;width:2;height:12" filled="true" fillcolor="#d2d2d2" stroked="false">
              <v:fill type="solid"/>
            </v:rect>
          </v:group>
        </w:pict>
      </w:r>
      <w:r>
        <w:rPr>
          <w:rFonts w:ascii="仿宋"/>
          <w:sz w:val="2"/>
        </w:rPr>
      </w:r>
    </w:p>
    <w:p>
      <w:pPr>
        <w:spacing w:before="0"/>
        <w:ind w:left="864" w:right="0" w:firstLine="0"/>
        <w:jc w:val="left"/>
        <w:rPr>
          <w:rFonts w:ascii="仿宋" w:hAnsi="仿宋" w:eastAsia="仿宋" w:hint="eastAsia"/>
          <w:sz w:val="13"/>
        </w:rPr>
      </w:pPr>
      <w:r>
        <w:rPr/>
        <w:pict>
          <v:rect style="position:absolute;margin-left:518.349976pt;margin-top:8.581001pt;width:.1pt;height:.6pt;mso-position-horizontal-relative:page;mso-position-vertical-relative:paragraph;z-index:251673600" filled="true" fillcolor="#d2d2d2" stroked="false">
            <v:fill type="solid"/>
            <w10:wrap type="none"/>
          </v:rect>
        </w:pict>
      </w:r>
      <w:r>
        <w:rPr>
          <w:rFonts w:ascii="仿宋" w:hAnsi="仿宋" w:eastAsia="仿宋" w:hint="eastAsia"/>
          <w:spacing w:val="-22"/>
          <w:position w:val="-4"/>
          <w:sz w:val="13"/>
        </w:rPr>
        <w:t>分值是三级指标的总</w:t>
      </w:r>
      <w:r>
        <w:rPr>
          <w:rFonts w:ascii="宋体" w:hAnsi="宋体" w:eastAsia="宋体" w:hint="eastAsia"/>
          <w:sz w:val="8"/>
        </w:rPr>
        <w:t>2</w:t>
      </w:r>
      <w:r>
        <w:rPr>
          <w:rFonts w:ascii="仿宋" w:hAnsi="仿宋" w:eastAsia="仿宋" w:hint="eastAsia"/>
          <w:spacing w:val="-118"/>
          <w:position w:val="-4"/>
          <w:sz w:val="13"/>
        </w:rPr>
        <w:t>分</w:t>
      </w:r>
      <w:r>
        <w:rPr>
          <w:rFonts w:ascii="宋体" w:hAnsi="宋体" w:eastAsia="宋体" w:hint="eastAsia"/>
          <w:spacing w:val="-17"/>
          <w:sz w:val="8"/>
        </w:rPr>
        <w:t>. </w:t>
      </w:r>
      <w:r>
        <w:rPr>
          <w:rFonts w:ascii="仿宋" w:hAnsi="仿宋" w:eastAsia="仿宋" w:hint="eastAsia"/>
          <w:spacing w:val="-67"/>
          <w:sz w:val="13"/>
        </w:rPr>
        <w:t>如</w:t>
      </w:r>
      <w:r>
        <w:rPr>
          <w:rFonts w:ascii="仿宋" w:hAnsi="仿宋" w:eastAsia="仿宋" w:hint="eastAsia"/>
          <w:spacing w:val="-67"/>
          <w:position w:val="-4"/>
          <w:sz w:val="13"/>
        </w:rPr>
        <w:t>，</w:t>
      </w:r>
      <w:r>
        <w:rPr>
          <w:rFonts w:ascii="仿宋" w:hAnsi="仿宋" w:eastAsia="仿宋" w:hint="eastAsia"/>
          <w:spacing w:val="-67"/>
          <w:sz w:val="13"/>
        </w:rPr>
        <w:t>果</w:t>
      </w:r>
      <w:r>
        <w:rPr>
          <w:rFonts w:ascii="仿宋" w:hAnsi="仿宋" w:eastAsia="仿宋" w:hint="eastAsia"/>
          <w:spacing w:val="-70"/>
          <w:position w:val="-4"/>
          <w:sz w:val="13"/>
        </w:rPr>
        <w:t>部</w:t>
      </w:r>
      <w:r>
        <w:rPr>
          <w:rFonts w:ascii="仿宋" w:hAnsi="仿宋" w:eastAsia="仿宋" w:hint="eastAsia"/>
          <w:spacing w:val="-65"/>
          <w:sz w:val="13"/>
        </w:rPr>
        <w:t>相</w:t>
      </w:r>
      <w:r>
        <w:rPr>
          <w:rFonts w:ascii="仿宋" w:hAnsi="仿宋" w:eastAsia="仿宋" w:hint="eastAsia"/>
          <w:spacing w:val="-70"/>
          <w:position w:val="-4"/>
          <w:sz w:val="13"/>
        </w:rPr>
        <w:t>门</w:t>
      </w:r>
      <w:r>
        <w:rPr>
          <w:rFonts w:ascii="仿宋" w:hAnsi="仿宋" w:eastAsia="仿宋" w:hint="eastAsia"/>
          <w:spacing w:val="-67"/>
          <w:sz w:val="13"/>
        </w:rPr>
        <w:t>关</w:t>
      </w:r>
      <w:r>
        <w:rPr>
          <w:rFonts w:ascii="仿宋" w:hAnsi="仿宋" w:eastAsia="仿宋" w:hint="eastAsia"/>
          <w:spacing w:val="-67"/>
          <w:position w:val="-4"/>
          <w:sz w:val="13"/>
        </w:rPr>
        <w:t>需</w:t>
      </w:r>
      <w:r>
        <w:rPr>
          <w:rFonts w:ascii="仿宋" w:hAnsi="仿宋" w:eastAsia="仿宋" w:hint="eastAsia"/>
          <w:spacing w:val="-67"/>
          <w:sz w:val="13"/>
        </w:rPr>
        <w:t>指</w:t>
      </w:r>
      <w:r>
        <w:rPr>
          <w:rFonts w:ascii="仿宋" w:hAnsi="仿宋" w:eastAsia="仿宋" w:hint="eastAsia"/>
          <w:spacing w:val="-67"/>
          <w:position w:val="-4"/>
          <w:sz w:val="13"/>
        </w:rPr>
        <w:t>要</w:t>
      </w:r>
      <w:r>
        <w:rPr>
          <w:rFonts w:ascii="仿宋" w:hAnsi="仿宋" w:eastAsia="仿宋" w:hint="eastAsia"/>
          <w:spacing w:val="-67"/>
          <w:sz w:val="13"/>
        </w:rPr>
        <w:t>标</w:t>
      </w:r>
      <w:r>
        <w:rPr>
          <w:rFonts w:ascii="仿宋" w:hAnsi="仿宋" w:eastAsia="仿宋" w:hint="eastAsia"/>
          <w:spacing w:val="-70"/>
          <w:position w:val="-4"/>
          <w:sz w:val="13"/>
        </w:rPr>
        <w:t>根</w:t>
      </w:r>
      <w:r>
        <w:rPr>
          <w:rFonts w:ascii="仿宋" w:hAnsi="仿宋" w:eastAsia="仿宋" w:hint="eastAsia"/>
          <w:spacing w:val="-65"/>
          <w:sz w:val="13"/>
        </w:rPr>
        <w:t>是</w:t>
      </w:r>
      <w:r>
        <w:rPr>
          <w:rFonts w:ascii="仿宋" w:hAnsi="仿宋" w:eastAsia="仿宋" w:hint="eastAsia"/>
          <w:spacing w:val="-70"/>
          <w:position w:val="-4"/>
          <w:sz w:val="13"/>
        </w:rPr>
        <w:t>据</w:t>
      </w:r>
      <w:r>
        <w:rPr>
          <w:rFonts w:ascii="仿宋" w:hAnsi="仿宋" w:eastAsia="仿宋" w:hint="eastAsia"/>
          <w:spacing w:val="-67"/>
          <w:sz w:val="13"/>
        </w:rPr>
        <w:t>定</w:t>
      </w:r>
      <w:r>
        <w:rPr>
          <w:rFonts w:ascii="仿宋" w:hAnsi="仿宋" w:eastAsia="仿宋" w:hint="eastAsia"/>
          <w:spacing w:val="-67"/>
          <w:position w:val="-4"/>
          <w:sz w:val="13"/>
        </w:rPr>
        <w:t>指</w:t>
      </w:r>
      <w:r>
        <w:rPr>
          <w:rFonts w:ascii="仿宋" w:hAnsi="仿宋" w:eastAsia="仿宋" w:hint="eastAsia"/>
          <w:spacing w:val="-67"/>
          <w:sz w:val="13"/>
        </w:rPr>
        <w:t>性</w:t>
      </w:r>
      <w:r>
        <w:rPr>
          <w:rFonts w:ascii="仿宋" w:hAnsi="仿宋" w:eastAsia="仿宋" w:hint="eastAsia"/>
          <w:spacing w:val="-70"/>
          <w:position w:val="-4"/>
          <w:sz w:val="13"/>
        </w:rPr>
        <w:t>标</w:t>
      </w:r>
      <w:r>
        <w:rPr>
          <w:rFonts w:ascii="仿宋" w:hAnsi="仿宋" w:eastAsia="仿宋" w:hint="eastAsia"/>
          <w:spacing w:val="-65"/>
          <w:sz w:val="13"/>
        </w:rPr>
        <w:t>指</w:t>
      </w:r>
      <w:r>
        <w:rPr>
          <w:rFonts w:ascii="仿宋" w:hAnsi="仿宋" w:eastAsia="仿宋" w:hint="eastAsia"/>
          <w:spacing w:val="-70"/>
          <w:position w:val="-4"/>
          <w:sz w:val="13"/>
        </w:rPr>
        <w:t>评</w:t>
      </w:r>
      <w:r>
        <w:rPr>
          <w:rFonts w:ascii="仿宋" w:hAnsi="仿宋" w:eastAsia="仿宋" w:hint="eastAsia"/>
          <w:spacing w:val="-67"/>
          <w:sz w:val="13"/>
        </w:rPr>
        <w:t>标</w:t>
      </w:r>
      <w:r>
        <w:rPr>
          <w:rFonts w:ascii="仿宋" w:hAnsi="仿宋" w:eastAsia="仿宋" w:hint="eastAsia"/>
          <w:spacing w:val="-67"/>
          <w:position w:val="-4"/>
          <w:sz w:val="13"/>
        </w:rPr>
        <w:t>价</w:t>
      </w:r>
      <w:r>
        <w:rPr>
          <w:rFonts w:ascii="仿宋" w:hAnsi="仿宋" w:eastAsia="仿宋" w:hint="eastAsia"/>
          <w:spacing w:val="-67"/>
          <w:sz w:val="13"/>
        </w:rPr>
        <w:t>，</w:t>
      </w:r>
      <w:r>
        <w:rPr>
          <w:rFonts w:ascii="仿宋" w:hAnsi="仿宋" w:eastAsia="仿宋" w:hint="eastAsia"/>
          <w:spacing w:val="-67"/>
          <w:position w:val="-4"/>
          <w:sz w:val="13"/>
        </w:rPr>
        <w:t>内</w:t>
      </w:r>
      <w:r>
        <w:rPr>
          <w:rFonts w:ascii="仿宋" w:hAnsi="仿宋" w:eastAsia="仿宋" w:hint="eastAsia"/>
          <w:spacing w:val="-67"/>
          <w:sz w:val="13"/>
        </w:rPr>
        <w:t>则</w:t>
      </w:r>
      <w:r>
        <w:rPr>
          <w:rFonts w:ascii="仿宋" w:hAnsi="仿宋" w:eastAsia="仿宋" w:hint="eastAsia"/>
          <w:spacing w:val="-70"/>
          <w:position w:val="-4"/>
          <w:sz w:val="13"/>
        </w:rPr>
        <w:t>容</w:t>
      </w:r>
      <w:r>
        <w:rPr>
          <w:rFonts w:ascii="仿宋" w:hAnsi="仿宋" w:eastAsia="仿宋" w:hint="eastAsia"/>
          <w:spacing w:val="-67"/>
          <w:sz w:val="13"/>
        </w:rPr>
        <w:t>项</w:t>
      </w:r>
      <w:r>
        <w:rPr>
          <w:rFonts w:ascii="仿宋" w:hAnsi="仿宋" w:eastAsia="仿宋" w:hint="eastAsia"/>
          <w:spacing w:val="-67"/>
          <w:position w:val="-4"/>
          <w:sz w:val="13"/>
        </w:rPr>
        <w:t>及</w:t>
      </w:r>
      <w:r>
        <w:rPr>
          <w:rFonts w:ascii="仿宋" w:hAnsi="仿宋" w:eastAsia="仿宋" w:hint="eastAsia"/>
          <w:spacing w:val="-67"/>
          <w:sz w:val="13"/>
        </w:rPr>
        <w:t>目</w:t>
      </w:r>
      <w:r>
        <w:rPr>
          <w:rFonts w:ascii="仿宋" w:hAnsi="仿宋" w:eastAsia="仿宋" w:hint="eastAsia"/>
          <w:spacing w:val="-67"/>
          <w:position w:val="-4"/>
          <w:sz w:val="13"/>
        </w:rPr>
        <w:t>标</w:t>
      </w:r>
      <w:r>
        <w:rPr>
          <w:rFonts w:ascii="仿宋" w:hAnsi="仿宋" w:eastAsia="仿宋" w:hint="eastAsia"/>
          <w:spacing w:val="-67"/>
          <w:sz w:val="13"/>
        </w:rPr>
        <w:t>预</w:t>
      </w:r>
      <w:r>
        <w:rPr>
          <w:rFonts w:ascii="仿宋" w:hAnsi="仿宋" w:eastAsia="仿宋" w:hint="eastAsia"/>
          <w:spacing w:val="-67"/>
          <w:position w:val="-4"/>
          <w:sz w:val="13"/>
        </w:rPr>
        <w:t>准</w:t>
      </w:r>
      <w:r>
        <w:rPr>
          <w:rFonts w:ascii="仿宋" w:hAnsi="仿宋" w:eastAsia="仿宋" w:hint="eastAsia"/>
          <w:spacing w:val="-67"/>
          <w:sz w:val="13"/>
        </w:rPr>
        <w:t>期</w:t>
      </w:r>
      <w:r>
        <w:rPr>
          <w:rFonts w:ascii="仿宋" w:hAnsi="仿宋" w:eastAsia="仿宋" w:hint="eastAsia"/>
          <w:spacing w:val="-70"/>
          <w:position w:val="-4"/>
          <w:sz w:val="13"/>
        </w:rPr>
        <w:t>计</w:t>
      </w:r>
      <w:r>
        <w:rPr>
          <w:rFonts w:ascii="仿宋" w:hAnsi="仿宋" w:eastAsia="仿宋" w:hint="eastAsia"/>
          <w:spacing w:val="-67"/>
          <w:sz w:val="13"/>
        </w:rPr>
        <w:t>值</w:t>
      </w:r>
      <w:r>
        <w:rPr>
          <w:rFonts w:ascii="仿宋" w:hAnsi="仿宋" w:eastAsia="仿宋" w:hint="eastAsia"/>
          <w:spacing w:val="-67"/>
          <w:position w:val="-4"/>
          <w:sz w:val="13"/>
        </w:rPr>
        <w:t>算</w:t>
      </w:r>
      <w:r>
        <w:rPr>
          <w:rFonts w:ascii="仿宋" w:hAnsi="仿宋" w:eastAsia="仿宋" w:hint="eastAsia"/>
          <w:spacing w:val="-67"/>
          <w:sz w:val="13"/>
        </w:rPr>
        <w:t>和</w:t>
      </w:r>
      <w:r>
        <w:rPr>
          <w:rFonts w:ascii="仿宋" w:hAnsi="仿宋" w:eastAsia="仿宋" w:hint="eastAsia"/>
          <w:spacing w:val="-67"/>
          <w:position w:val="-4"/>
          <w:sz w:val="13"/>
        </w:rPr>
        <w:t>后</w:t>
      </w:r>
      <w:r>
        <w:rPr>
          <w:rFonts w:ascii="仿宋" w:hAnsi="仿宋" w:eastAsia="仿宋" w:hint="eastAsia"/>
          <w:spacing w:val="-67"/>
          <w:sz w:val="13"/>
        </w:rPr>
        <w:t>实</w:t>
      </w:r>
      <w:r>
        <w:rPr>
          <w:rFonts w:ascii="仿宋" w:hAnsi="仿宋" w:eastAsia="仿宋" w:hint="eastAsia"/>
          <w:spacing w:val="-70"/>
          <w:position w:val="-4"/>
          <w:sz w:val="13"/>
        </w:rPr>
        <w:t>乘</w:t>
      </w:r>
      <w:r>
        <w:rPr>
          <w:rFonts w:ascii="仿宋" w:hAnsi="仿宋" w:eastAsia="仿宋" w:hint="eastAsia"/>
          <w:spacing w:val="-67"/>
          <w:sz w:val="13"/>
        </w:rPr>
        <w:t>际</w:t>
      </w:r>
      <w:r>
        <w:rPr>
          <w:rFonts w:ascii="仿宋" w:hAnsi="仿宋" w:eastAsia="仿宋" w:hint="eastAsia"/>
          <w:spacing w:val="-67"/>
          <w:position w:val="-4"/>
          <w:sz w:val="13"/>
        </w:rPr>
        <w:t>以</w:t>
      </w:r>
      <w:r>
        <w:rPr>
          <w:rFonts w:ascii="仿宋" w:hAnsi="仿宋" w:eastAsia="仿宋" w:hint="eastAsia"/>
          <w:spacing w:val="-67"/>
          <w:sz w:val="13"/>
        </w:rPr>
        <w:t>值</w:t>
      </w:r>
      <w:r>
        <w:rPr>
          <w:rFonts w:ascii="仿宋" w:hAnsi="仿宋" w:eastAsia="仿宋" w:hint="eastAsia"/>
          <w:spacing w:val="-67"/>
          <w:position w:val="-4"/>
          <w:sz w:val="13"/>
        </w:rPr>
        <w:t>总</w:t>
      </w:r>
      <w:r>
        <w:rPr>
          <w:rFonts w:ascii="仿宋" w:hAnsi="仿宋" w:eastAsia="仿宋" w:hint="eastAsia"/>
          <w:spacing w:val="-67"/>
          <w:sz w:val="13"/>
        </w:rPr>
        <w:t>仍</w:t>
      </w:r>
      <w:r>
        <w:rPr>
          <w:rFonts w:ascii="仿宋" w:hAnsi="仿宋" w:eastAsia="仿宋" w:hint="eastAsia"/>
          <w:spacing w:val="-70"/>
          <w:position w:val="-4"/>
          <w:sz w:val="13"/>
        </w:rPr>
        <w:t>分</w:t>
      </w:r>
      <w:r>
        <w:rPr>
          <w:rFonts w:ascii="仿宋" w:hAnsi="仿宋" w:eastAsia="仿宋" w:hint="eastAsia"/>
          <w:spacing w:val="-67"/>
          <w:sz w:val="13"/>
        </w:rPr>
        <w:t>需</w:t>
      </w:r>
      <w:r>
        <w:rPr>
          <w:rFonts w:ascii="仿宋" w:hAnsi="仿宋" w:eastAsia="仿宋" w:hint="eastAsia"/>
          <w:spacing w:val="-67"/>
          <w:position w:val="-4"/>
          <w:sz w:val="13"/>
        </w:rPr>
        <w:t>得</w:t>
      </w:r>
      <w:r>
        <w:rPr>
          <w:rFonts w:ascii="仿宋" w:hAnsi="仿宋" w:eastAsia="仿宋" w:hint="eastAsia"/>
          <w:spacing w:val="-67"/>
          <w:sz w:val="13"/>
        </w:rPr>
        <w:t>要</w:t>
      </w:r>
      <w:r>
        <w:rPr>
          <w:rFonts w:ascii="仿宋" w:hAnsi="仿宋" w:eastAsia="仿宋" w:hint="eastAsia"/>
          <w:spacing w:val="-67"/>
          <w:position w:val="-4"/>
          <w:sz w:val="13"/>
        </w:rPr>
        <w:t>出</w:t>
      </w:r>
      <w:r>
        <w:rPr>
          <w:rFonts w:ascii="仿宋" w:hAnsi="仿宋" w:eastAsia="仿宋" w:hint="eastAsia"/>
          <w:spacing w:val="-67"/>
          <w:sz w:val="13"/>
        </w:rPr>
        <w:t>设</w:t>
      </w:r>
      <w:r>
        <w:rPr>
          <w:rFonts w:ascii="仿宋" w:hAnsi="仿宋" w:eastAsia="仿宋" w:hint="eastAsia"/>
          <w:spacing w:val="-67"/>
          <w:position w:val="-4"/>
          <w:sz w:val="13"/>
        </w:rPr>
        <w:t>指</w:t>
      </w:r>
      <w:r>
        <w:rPr>
          <w:rFonts w:ascii="仿宋" w:hAnsi="仿宋" w:eastAsia="仿宋" w:hint="eastAsia"/>
          <w:spacing w:val="-67"/>
          <w:sz w:val="13"/>
        </w:rPr>
        <w:t>定</w:t>
      </w:r>
      <w:r>
        <w:rPr>
          <w:rFonts w:ascii="仿宋" w:hAnsi="仿宋" w:eastAsia="仿宋" w:hint="eastAsia"/>
          <w:spacing w:val="-70"/>
          <w:position w:val="-4"/>
          <w:sz w:val="13"/>
        </w:rPr>
        <w:t>标</w:t>
      </w:r>
      <w:r>
        <w:rPr>
          <w:rFonts w:ascii="仿宋" w:hAnsi="仿宋" w:eastAsia="仿宋" w:hint="eastAsia"/>
          <w:spacing w:val="-67"/>
          <w:sz w:val="13"/>
        </w:rPr>
        <w:t>。</w:t>
      </w:r>
      <w:r>
        <w:rPr>
          <w:rFonts w:ascii="仿宋" w:hAnsi="仿宋" w:eastAsia="仿宋" w:hint="eastAsia"/>
          <w:spacing w:val="-67"/>
          <w:position w:val="-4"/>
          <w:sz w:val="13"/>
        </w:rPr>
        <w:t>的</w:t>
      </w:r>
      <w:r>
        <w:rPr>
          <w:rFonts w:ascii="仿宋" w:hAnsi="仿宋" w:eastAsia="仿宋" w:hint="eastAsia"/>
          <w:spacing w:val="-67"/>
          <w:sz w:val="13"/>
        </w:rPr>
        <w:t>如</w:t>
      </w:r>
      <w:r>
        <w:rPr>
          <w:rFonts w:ascii="仿宋" w:hAnsi="仿宋" w:eastAsia="仿宋" w:hint="eastAsia"/>
          <w:spacing w:val="-67"/>
          <w:position w:val="-4"/>
          <w:sz w:val="13"/>
        </w:rPr>
        <w:t>实</w:t>
      </w:r>
      <w:r>
        <w:rPr>
          <w:rFonts w:ascii="仿宋" w:hAnsi="仿宋" w:eastAsia="仿宋" w:hint="eastAsia"/>
          <w:spacing w:val="-67"/>
          <w:sz w:val="13"/>
        </w:rPr>
        <w:t>指</w:t>
      </w:r>
      <w:r>
        <w:rPr>
          <w:rFonts w:ascii="仿宋" w:hAnsi="仿宋" w:eastAsia="仿宋" w:hint="eastAsia"/>
          <w:spacing w:val="-67"/>
          <w:position w:val="-4"/>
          <w:sz w:val="13"/>
        </w:rPr>
        <w:t>际</w:t>
      </w:r>
      <w:r>
        <w:rPr>
          <w:rFonts w:ascii="仿宋" w:hAnsi="仿宋" w:eastAsia="仿宋" w:hint="eastAsia"/>
          <w:spacing w:val="-70"/>
          <w:sz w:val="13"/>
        </w:rPr>
        <w:t>标</w:t>
      </w:r>
      <w:r>
        <w:rPr>
          <w:rFonts w:ascii="仿宋" w:hAnsi="仿宋" w:eastAsia="仿宋" w:hint="eastAsia"/>
          <w:spacing w:val="-67"/>
          <w:position w:val="-4"/>
          <w:sz w:val="13"/>
        </w:rPr>
        <w:t>得</w:t>
      </w:r>
      <w:r>
        <w:rPr>
          <w:rFonts w:ascii="仿宋" w:hAnsi="仿宋" w:eastAsia="仿宋" w:hint="eastAsia"/>
          <w:spacing w:val="-67"/>
          <w:sz w:val="13"/>
        </w:rPr>
        <w:t>名</w:t>
      </w:r>
      <w:r>
        <w:rPr>
          <w:rFonts w:ascii="仿宋" w:hAnsi="仿宋" w:eastAsia="仿宋" w:hint="eastAsia"/>
          <w:spacing w:val="-67"/>
          <w:position w:val="-4"/>
          <w:sz w:val="13"/>
        </w:rPr>
        <w:t>分</w:t>
      </w:r>
      <w:r>
        <w:rPr>
          <w:rFonts w:ascii="仿宋" w:hAnsi="仿宋" w:eastAsia="仿宋" w:hint="eastAsia"/>
          <w:spacing w:val="-67"/>
          <w:sz w:val="13"/>
        </w:rPr>
        <w:t>称</w:t>
      </w:r>
      <w:r>
        <w:rPr>
          <w:rFonts w:ascii="仿宋" w:hAnsi="仿宋" w:eastAsia="仿宋" w:hint="eastAsia"/>
          <w:spacing w:val="-67"/>
          <w:position w:val="-4"/>
          <w:sz w:val="13"/>
        </w:rPr>
        <w:t>。</w:t>
      </w:r>
      <w:r>
        <w:rPr>
          <w:rFonts w:ascii="仿宋" w:hAnsi="仿宋" w:eastAsia="仿宋" w:hint="eastAsia"/>
          <w:spacing w:val="-17"/>
          <w:sz w:val="13"/>
        </w:rPr>
        <w:t>是“规范管理”，则预期值为“规范”，完成值为“规范”或“不规范”。</w:t>
      </w:r>
    </w:p>
    <w:p>
      <w:pPr>
        <w:spacing w:after="0"/>
        <w:jc w:val="left"/>
        <w:rPr>
          <w:rFonts w:ascii="仿宋" w:hAnsi="仿宋" w:eastAsia="仿宋" w:hint="eastAsia"/>
          <w:sz w:val="13"/>
        </w:rPr>
        <w:sectPr>
          <w:type w:val="continuous"/>
          <w:pgSz w:w="11910" w:h="16840"/>
          <w:pgMar w:top="1580" w:bottom="1580" w:left="660" w:right="40"/>
        </w:sectPr>
      </w:pPr>
    </w:p>
    <w:p>
      <w:pPr>
        <w:pStyle w:val="BodyText"/>
        <w:rPr>
          <w:rFonts w:ascii="仿宋"/>
          <w:sz w:val="20"/>
        </w:rPr>
      </w:pPr>
    </w:p>
    <w:p>
      <w:pPr>
        <w:pStyle w:val="BodyText"/>
        <w:spacing w:before="7"/>
        <w:rPr>
          <w:rFonts w:ascii="仿宋"/>
          <w:sz w:val="20"/>
        </w:rPr>
      </w:pPr>
    </w:p>
    <w:p>
      <w:pPr>
        <w:pStyle w:val="BodyText"/>
        <w:spacing w:before="64"/>
        <w:ind w:left="760"/>
        <w:rPr>
          <w:rFonts w:ascii="Times New Roman" w:eastAsia="Times New Roman"/>
        </w:rPr>
      </w:pPr>
      <w:r>
        <w:rPr>
          <w:rFonts w:ascii="仿宋" w:eastAsia="仿宋" w:hint="eastAsia"/>
        </w:rPr>
        <w:t>附件 </w:t>
      </w:r>
      <w:r>
        <w:rPr>
          <w:rFonts w:ascii="Times New Roman" w:eastAsia="Times New Roman"/>
        </w:rPr>
        <w:t>1-2</w:t>
      </w:r>
    </w:p>
    <w:p>
      <w:pPr>
        <w:pStyle w:val="BodyText"/>
        <w:spacing w:before="171"/>
        <w:ind w:left="2466"/>
        <w:rPr>
          <w:rFonts w:ascii="仿宋" w:eastAsia="仿宋" w:hint="eastAsia"/>
        </w:rPr>
      </w:pPr>
      <w:r>
        <w:rPr>
          <w:rFonts w:ascii="Times New Roman" w:eastAsia="Times New Roman"/>
        </w:rPr>
        <w:t>2019 </w:t>
      </w:r>
      <w:r>
        <w:rPr>
          <w:rFonts w:ascii="仿宋" w:eastAsia="仿宋" w:hint="eastAsia"/>
        </w:rPr>
        <w:t>年部门整体支出绩效评价报告</w:t>
      </w:r>
    </w:p>
    <w:p>
      <w:pPr>
        <w:pStyle w:val="BodyText"/>
        <w:rPr>
          <w:rFonts w:ascii="仿宋"/>
          <w:sz w:val="20"/>
        </w:rPr>
      </w:pPr>
    </w:p>
    <w:p>
      <w:pPr>
        <w:pStyle w:val="BodyText"/>
        <w:rPr>
          <w:rFonts w:ascii="仿宋"/>
          <w:sz w:val="16"/>
        </w:rPr>
      </w:pPr>
    </w:p>
    <w:p>
      <w:pPr>
        <w:pStyle w:val="BodyText"/>
        <w:spacing w:before="27"/>
        <w:ind w:left="760"/>
        <w:rPr>
          <w:rFonts w:ascii="方正黑体_GBK" w:eastAsia="方正黑体_GBK" w:hint="eastAsia"/>
        </w:rPr>
      </w:pPr>
      <w:r>
        <w:rPr>
          <w:rFonts w:ascii="方正黑体_GBK" w:eastAsia="方正黑体_GBK" w:hint="eastAsia"/>
        </w:rPr>
        <w:t>一、部门（单位）概况</w:t>
      </w:r>
    </w:p>
    <w:p>
      <w:pPr>
        <w:pStyle w:val="BodyText"/>
        <w:spacing w:before="30"/>
        <w:ind w:left="760"/>
        <w:rPr>
          <w:rFonts w:ascii="微软雅黑" w:eastAsia="微软雅黑" w:hint="eastAsia"/>
        </w:rPr>
      </w:pPr>
      <w:r>
        <w:rPr>
          <w:rFonts w:ascii="微软雅黑" w:eastAsia="微软雅黑" w:hint="eastAsia"/>
        </w:rPr>
        <w:t>（一）机构组成。</w:t>
      </w:r>
    </w:p>
    <w:p>
      <w:pPr>
        <w:pStyle w:val="BodyText"/>
        <w:spacing w:line="252" w:lineRule="auto" w:before="68"/>
        <w:ind w:left="131" w:right="1344" w:firstLine="628"/>
      </w:pPr>
      <w:r>
        <w:rPr>
          <w:spacing w:val="-3"/>
        </w:rPr>
        <w:t>四川省成都市青苏职业中专学校是一个独立核算单位，学校</w:t>
      </w:r>
      <w:r>
        <w:rPr>
          <w:spacing w:val="-28"/>
        </w:rPr>
        <w:t>内设 </w:t>
      </w:r>
      <w:r>
        <w:rPr>
          <w:rFonts w:ascii="Times New Roman" w:eastAsia="Times New Roman"/>
        </w:rPr>
        <w:t>5 </w:t>
      </w:r>
      <w:r>
        <w:rPr>
          <w:spacing w:val="-16"/>
        </w:rPr>
        <w:t>个处室，分别为分别为德育处、教务处、总务处、办公室、</w:t>
      </w:r>
      <w:r>
        <w:rPr>
          <w:spacing w:val="-5"/>
        </w:rPr>
        <w:t>科研室。</w:t>
      </w:r>
      <w:r>
        <w:rPr>
          <w:rFonts w:ascii="Times New Roman" w:eastAsia="Times New Roman"/>
        </w:rPr>
        <w:t>2019 </w:t>
      </w:r>
      <w:r>
        <w:rPr>
          <w:spacing w:val="-5"/>
        </w:rPr>
        <w:t>年学校机构设置无变动。</w:t>
      </w:r>
    </w:p>
    <w:p>
      <w:pPr>
        <w:pStyle w:val="BodyText"/>
        <w:spacing w:line="508" w:lineRule="exact"/>
        <w:ind w:left="760"/>
        <w:rPr>
          <w:rFonts w:ascii="微软雅黑" w:eastAsia="微软雅黑" w:hint="eastAsia"/>
        </w:rPr>
      </w:pPr>
      <w:r>
        <w:rPr>
          <w:rFonts w:ascii="微软雅黑" w:eastAsia="微软雅黑" w:hint="eastAsia"/>
        </w:rPr>
        <w:t>（二）机构职能。</w:t>
      </w:r>
    </w:p>
    <w:p>
      <w:pPr>
        <w:spacing w:line="360" w:lineRule="auto" w:before="94"/>
        <w:ind w:left="131" w:right="1502" w:firstLine="590"/>
        <w:jc w:val="both"/>
        <w:rPr>
          <w:rFonts w:ascii="仿宋" w:eastAsia="仿宋" w:hint="eastAsia"/>
          <w:sz w:val="30"/>
        </w:rPr>
      </w:pPr>
      <w:r>
        <w:rPr>
          <w:rFonts w:ascii="仿宋" w:eastAsia="仿宋" w:hint="eastAsia"/>
          <w:spacing w:val="-8"/>
          <w:sz w:val="30"/>
        </w:rPr>
        <w:t>贯彻执行国家教育方针，教学标准，对学生进行相应的科学文化</w:t>
      </w:r>
      <w:r>
        <w:rPr>
          <w:rFonts w:ascii="仿宋" w:eastAsia="仿宋" w:hint="eastAsia"/>
          <w:spacing w:val="-9"/>
          <w:sz w:val="30"/>
        </w:rPr>
        <w:t>基础知识的教育。以德治校，以德育人，弘扬科创特色。培养四有新</w:t>
      </w:r>
      <w:r>
        <w:rPr>
          <w:rFonts w:ascii="仿宋" w:eastAsia="仿宋" w:hint="eastAsia"/>
          <w:spacing w:val="-3"/>
          <w:sz w:val="30"/>
        </w:rPr>
        <w:t>人。</w:t>
      </w:r>
    </w:p>
    <w:p>
      <w:pPr>
        <w:pStyle w:val="BodyText"/>
        <w:spacing w:line="493" w:lineRule="exact"/>
        <w:ind w:left="760"/>
        <w:rPr>
          <w:rFonts w:ascii="微软雅黑" w:eastAsia="微软雅黑" w:hint="eastAsia"/>
        </w:rPr>
      </w:pPr>
      <w:r>
        <w:rPr>
          <w:rFonts w:ascii="微软雅黑" w:eastAsia="微软雅黑" w:hint="eastAsia"/>
        </w:rPr>
        <w:t>（三）人员概况。</w:t>
      </w:r>
    </w:p>
    <w:p>
      <w:pPr>
        <w:pStyle w:val="BodyText"/>
        <w:spacing w:before="53"/>
        <w:ind w:left="760"/>
        <w:rPr>
          <w:rFonts w:ascii="仿宋" w:eastAsia="仿宋" w:hint="eastAsia"/>
        </w:rPr>
      </w:pPr>
      <w:r>
        <w:rPr>
          <w:rFonts w:ascii="仿宋" w:eastAsia="仿宋" w:hint="eastAsia"/>
        </w:rPr>
        <w:t>2019 年</w:t>
      </w:r>
      <w:r>
        <w:rPr/>
        <w:t>四川省成都市青苏职业中专学校在职人员 </w:t>
      </w:r>
      <w:r>
        <w:rPr>
          <w:rFonts w:ascii="Times New Roman" w:eastAsia="Times New Roman"/>
        </w:rPr>
        <w:t>93 </w:t>
      </w:r>
      <w:r>
        <w:rPr/>
        <w:t>人，</w:t>
      </w:r>
      <w:r>
        <w:rPr>
          <w:rFonts w:ascii="仿宋" w:eastAsia="仿宋" w:hint="eastAsia"/>
        </w:rPr>
        <w:t>在</w:t>
      </w:r>
    </w:p>
    <w:p>
      <w:pPr>
        <w:pStyle w:val="BodyText"/>
        <w:spacing w:before="43"/>
        <w:ind w:left="131"/>
        <w:jc w:val="both"/>
        <w:rPr>
          <w:rFonts w:ascii="仿宋" w:eastAsia="仿宋" w:hint="eastAsia"/>
        </w:rPr>
      </w:pPr>
      <w:r>
        <w:rPr>
          <w:rFonts w:ascii="仿宋" w:eastAsia="仿宋" w:hint="eastAsia"/>
        </w:rPr>
        <w:t>职人数较 2018 年增加 2 人，主要是主要是公招人员 2 人。</w:t>
      </w:r>
    </w:p>
    <w:p>
      <w:pPr>
        <w:pStyle w:val="BodyText"/>
        <w:spacing w:before="52"/>
        <w:ind w:left="760"/>
        <w:rPr>
          <w:rFonts w:ascii="方正黑体_GBK" w:eastAsia="方正黑体_GBK" w:hint="eastAsia"/>
        </w:rPr>
      </w:pPr>
      <w:r>
        <w:rPr>
          <w:rFonts w:ascii="方正黑体_GBK" w:eastAsia="方正黑体_GBK" w:hint="eastAsia"/>
        </w:rPr>
        <w:t>二、预算管理情况</w:t>
      </w:r>
    </w:p>
    <w:p>
      <w:pPr>
        <w:pStyle w:val="BodyText"/>
        <w:spacing w:before="30"/>
        <w:ind w:left="760"/>
        <w:rPr>
          <w:rFonts w:ascii="微软雅黑" w:eastAsia="微软雅黑" w:hint="eastAsia"/>
        </w:rPr>
      </w:pPr>
      <w:r>
        <w:rPr>
          <w:rFonts w:ascii="微软雅黑" w:eastAsia="微软雅黑" w:hint="eastAsia"/>
        </w:rPr>
        <w:t>（一）预算编制情况。</w:t>
      </w:r>
    </w:p>
    <w:p>
      <w:pPr>
        <w:pStyle w:val="BodyText"/>
        <w:spacing w:before="91"/>
        <w:ind w:left="760"/>
        <w:jc w:val="both"/>
        <w:rPr>
          <w:rFonts w:ascii="仿宋" w:eastAsia="仿宋" w:hint="eastAsia"/>
        </w:rPr>
      </w:pPr>
      <w:r>
        <w:rPr>
          <w:rFonts w:ascii="仿宋" w:eastAsia="仿宋" w:hint="eastAsia"/>
        </w:rPr>
        <w:t>2019 年年初预算收入总额 1446.10 万元，年度执行中调整预</w:t>
      </w:r>
    </w:p>
    <w:p>
      <w:pPr>
        <w:pStyle w:val="BodyText"/>
        <w:spacing w:line="304" w:lineRule="auto" w:before="111"/>
        <w:ind w:left="131" w:right="1495"/>
        <w:jc w:val="both"/>
        <w:rPr>
          <w:rFonts w:ascii="仿宋" w:eastAsia="仿宋" w:hint="eastAsia"/>
        </w:rPr>
      </w:pPr>
      <w:r>
        <w:rPr>
          <w:rFonts w:ascii="仿宋" w:eastAsia="仿宋" w:hint="eastAsia"/>
          <w:spacing w:val="-27"/>
        </w:rPr>
        <w:t>算数为 </w:t>
      </w:r>
      <w:r>
        <w:rPr>
          <w:rFonts w:ascii="仿宋" w:eastAsia="仿宋" w:hint="eastAsia"/>
        </w:rPr>
        <w:t>3227.44</w:t>
      </w:r>
      <w:r>
        <w:rPr>
          <w:rFonts w:ascii="仿宋" w:eastAsia="仿宋" w:hint="eastAsia"/>
          <w:spacing w:val="-28"/>
        </w:rPr>
        <w:t> 万元。其中：一般公共预算财政拨款收入 </w:t>
      </w:r>
      <w:r>
        <w:rPr>
          <w:rFonts w:ascii="仿宋" w:eastAsia="仿宋" w:hint="eastAsia"/>
        </w:rPr>
        <w:t>3227.44 </w:t>
      </w:r>
      <w:r>
        <w:rPr>
          <w:rFonts w:ascii="仿宋" w:eastAsia="仿宋" w:hint="eastAsia"/>
          <w:spacing w:val="-17"/>
        </w:rPr>
        <w:t>万元。</w:t>
      </w:r>
      <w:r>
        <w:rPr>
          <w:rFonts w:ascii="仿宋" w:eastAsia="仿宋" w:hint="eastAsia"/>
        </w:rPr>
        <w:t>2019</w:t>
      </w:r>
      <w:r>
        <w:rPr>
          <w:rFonts w:ascii="仿宋" w:eastAsia="仿宋" w:hint="eastAsia"/>
          <w:spacing w:val="-21"/>
        </w:rPr>
        <w:t> 年年初预算支出总额为 </w:t>
      </w:r>
      <w:r>
        <w:rPr>
          <w:rFonts w:ascii="仿宋" w:eastAsia="仿宋" w:hint="eastAsia"/>
        </w:rPr>
        <w:t>1446.10</w:t>
      </w:r>
      <w:r>
        <w:rPr>
          <w:rFonts w:ascii="仿宋" w:eastAsia="仿宋" w:hint="eastAsia"/>
          <w:spacing w:val="-18"/>
        </w:rPr>
        <w:t> 万元，调整预算数为3227.44</w:t>
      </w:r>
      <w:r>
        <w:rPr>
          <w:rFonts w:ascii="仿宋" w:eastAsia="仿宋" w:hint="eastAsia"/>
          <w:spacing w:val="-25"/>
        </w:rPr>
        <w:t> 万。其中：基本支出 </w:t>
      </w:r>
      <w:r>
        <w:rPr>
          <w:rFonts w:ascii="Times New Roman" w:eastAsia="Times New Roman"/>
        </w:rPr>
        <w:t>1943.84 </w:t>
      </w:r>
      <w:r>
        <w:rPr>
          <w:rFonts w:ascii="仿宋" w:eastAsia="仿宋" w:hint="eastAsia"/>
          <w:spacing w:val="-18"/>
        </w:rPr>
        <w:t>万元，项目支出 </w:t>
      </w:r>
      <w:r>
        <w:rPr>
          <w:rFonts w:ascii="Times New Roman" w:eastAsia="Times New Roman"/>
        </w:rPr>
        <w:t>1283.60 </w:t>
      </w:r>
      <w:r>
        <w:rPr>
          <w:rFonts w:ascii="仿宋" w:eastAsia="仿宋" w:hint="eastAsia"/>
        </w:rPr>
        <w:t>万</w:t>
      </w:r>
      <w:r>
        <w:rPr>
          <w:rFonts w:ascii="仿宋" w:eastAsia="仿宋" w:hint="eastAsia"/>
          <w:spacing w:val="-3"/>
        </w:rPr>
        <w:t>元。</w:t>
      </w:r>
    </w:p>
    <w:p>
      <w:pPr>
        <w:spacing w:after="0" w:line="304" w:lineRule="auto"/>
        <w:jc w:val="both"/>
        <w:rPr>
          <w:rFonts w:ascii="仿宋" w:eastAsia="仿宋" w:hint="eastAsia"/>
        </w:rPr>
        <w:sectPr>
          <w:footerReference w:type="default" r:id="rId18"/>
          <w:footerReference w:type="even" r:id="rId19"/>
          <w:pgSz w:w="11910" w:h="16840"/>
          <w:pgMar w:footer="1384" w:header="0" w:top="1580" w:bottom="1580" w:left="1400" w:right="0"/>
          <w:pgNumType w:start="17"/>
        </w:sectPr>
      </w:pPr>
    </w:p>
    <w:p>
      <w:pPr>
        <w:pStyle w:val="BodyText"/>
        <w:rPr>
          <w:rFonts w:ascii="仿宋"/>
          <w:sz w:val="20"/>
        </w:rPr>
      </w:pPr>
    </w:p>
    <w:p>
      <w:pPr>
        <w:pStyle w:val="BodyText"/>
        <w:spacing w:before="4"/>
        <w:rPr>
          <w:rFonts w:ascii="仿宋"/>
          <w:sz w:val="17"/>
        </w:rPr>
      </w:pPr>
    </w:p>
    <w:p>
      <w:pPr>
        <w:pStyle w:val="BodyText"/>
        <w:spacing w:before="15"/>
        <w:ind w:left="445"/>
        <w:rPr>
          <w:rFonts w:ascii="微软雅黑" w:eastAsia="微软雅黑" w:hint="eastAsia"/>
        </w:rPr>
      </w:pPr>
      <w:r>
        <w:rPr>
          <w:rFonts w:ascii="微软雅黑" w:eastAsia="微软雅黑" w:hint="eastAsia"/>
        </w:rPr>
        <w:t>（二）预算执行情况。</w:t>
      </w:r>
    </w:p>
    <w:p>
      <w:pPr>
        <w:pStyle w:val="BodyText"/>
        <w:spacing w:before="93"/>
        <w:ind w:left="760"/>
        <w:rPr>
          <w:rFonts w:ascii="仿宋" w:eastAsia="仿宋" w:hint="eastAsia"/>
        </w:rPr>
      </w:pPr>
      <w:r>
        <w:rPr>
          <w:rFonts w:ascii="仿宋" w:eastAsia="仿宋" w:hint="eastAsia"/>
        </w:rPr>
        <w:t>2019 年支出合计 3227.44 万元。其中：基本支出 </w:t>
      </w:r>
      <w:r>
        <w:rPr>
          <w:rFonts w:ascii="Times New Roman" w:eastAsia="Times New Roman"/>
        </w:rPr>
        <w:t>1943.84 </w:t>
      </w:r>
      <w:r>
        <w:rPr>
          <w:rFonts w:ascii="仿宋" w:eastAsia="仿宋" w:hint="eastAsia"/>
        </w:rPr>
        <w:t>万</w:t>
      </w:r>
    </w:p>
    <w:p>
      <w:pPr>
        <w:pStyle w:val="BodyText"/>
        <w:spacing w:before="109"/>
        <w:ind w:left="131"/>
        <w:rPr>
          <w:rFonts w:ascii="仿宋" w:hAnsi="仿宋" w:eastAsia="仿宋" w:hint="eastAsia"/>
        </w:rPr>
      </w:pPr>
      <w:r>
        <w:rPr>
          <w:rFonts w:ascii="仿宋" w:hAnsi="仿宋" w:eastAsia="仿宋" w:hint="eastAsia"/>
        </w:rPr>
        <w:t>元，项目支出 </w:t>
      </w:r>
      <w:r>
        <w:rPr>
          <w:rFonts w:ascii="Times New Roman" w:hAnsi="Times New Roman" w:eastAsia="Times New Roman"/>
        </w:rPr>
        <w:t>1283.60 </w:t>
      </w:r>
      <w:r>
        <w:rPr>
          <w:rFonts w:ascii="仿宋" w:hAnsi="仿宋" w:eastAsia="仿宋" w:hint="eastAsia"/>
        </w:rPr>
        <w:t>万元。“运转补助”专项经费 126.72 万元。</w:t>
      </w:r>
    </w:p>
    <w:p>
      <w:pPr>
        <w:pStyle w:val="BodyText"/>
        <w:spacing w:before="51"/>
        <w:ind w:left="760"/>
        <w:rPr>
          <w:rFonts w:ascii="方正黑体_GBK" w:eastAsia="方正黑体_GBK" w:hint="eastAsia"/>
        </w:rPr>
      </w:pPr>
      <w:r>
        <w:rPr>
          <w:rFonts w:ascii="方正黑体_GBK" w:eastAsia="方正黑体_GBK" w:hint="eastAsia"/>
        </w:rPr>
        <w:t>三、部门管理情况</w:t>
      </w:r>
    </w:p>
    <w:p>
      <w:pPr>
        <w:pStyle w:val="BodyText"/>
        <w:spacing w:line="316" w:lineRule="auto" w:before="150"/>
        <w:ind w:left="131" w:right="1500" w:firstLine="628"/>
        <w:jc w:val="right"/>
        <w:rPr>
          <w:rFonts w:ascii="仿宋" w:eastAsia="仿宋" w:hint="eastAsia"/>
        </w:rPr>
      </w:pPr>
      <w:r>
        <w:rPr>
          <w:rFonts w:ascii="仿宋" w:eastAsia="仿宋" w:hint="eastAsia"/>
          <w:spacing w:val="-1"/>
          <w:w w:val="95"/>
        </w:rPr>
        <w:t>1</w:t>
      </w:r>
      <w:r>
        <w:rPr>
          <w:rFonts w:ascii="仿宋" w:eastAsia="仿宋" w:hint="eastAsia"/>
          <w:spacing w:val="-16"/>
          <w:w w:val="95"/>
        </w:rPr>
        <w:t>、学校严格执行各项财经纪律制度，全面落实预算管理，加 </w:t>
      </w:r>
      <w:r>
        <w:rPr>
          <w:rFonts w:ascii="仿宋" w:eastAsia="仿宋" w:hint="eastAsia"/>
          <w:spacing w:val="-3"/>
          <w:w w:val="95"/>
        </w:rPr>
        <w:t>强会计基础工作，充分发挥财务管理在单位管理中的核心作用， </w:t>
      </w:r>
      <w:r>
        <w:rPr>
          <w:rFonts w:ascii="仿宋" w:eastAsia="仿宋" w:hint="eastAsia"/>
          <w:spacing w:val="-5"/>
          <w:w w:val="95"/>
        </w:rPr>
        <w:t>较好地完成了各项工作任务，财务管理水平有了大幅度的提高。  </w:t>
      </w:r>
      <w:r>
        <w:rPr>
          <w:rFonts w:ascii="仿宋" w:eastAsia="仿宋" w:hint="eastAsia"/>
          <w:spacing w:val="-1"/>
          <w:w w:val="95"/>
        </w:rPr>
        <w:t>2</w:t>
      </w:r>
      <w:r>
        <w:rPr>
          <w:rFonts w:ascii="仿宋" w:eastAsia="仿宋" w:hint="eastAsia"/>
          <w:spacing w:val="-16"/>
          <w:w w:val="95"/>
        </w:rPr>
        <w:t>、在会计核算方面，学校严格按照政府会计制度要求，按功</w:t>
      </w:r>
    </w:p>
    <w:p>
      <w:pPr>
        <w:pStyle w:val="BodyText"/>
        <w:spacing w:line="316" w:lineRule="auto"/>
        <w:ind w:left="131" w:right="1344"/>
        <w:rPr>
          <w:rFonts w:ascii="仿宋" w:eastAsia="仿宋" w:hint="eastAsia"/>
        </w:rPr>
      </w:pPr>
      <w:r>
        <w:rPr>
          <w:rFonts w:ascii="仿宋" w:eastAsia="仿宋" w:hint="eastAsia"/>
          <w:spacing w:val="-15"/>
          <w:w w:val="95"/>
        </w:rPr>
        <w:t>能科目设置会计科目，做到财务账、大平台、部门决算口径一致、 </w:t>
      </w:r>
      <w:r>
        <w:rPr>
          <w:rFonts w:ascii="仿宋" w:eastAsia="仿宋" w:hint="eastAsia"/>
          <w:spacing w:val="-4"/>
        </w:rPr>
        <w:t>核算一致。</w:t>
      </w:r>
    </w:p>
    <w:p>
      <w:pPr>
        <w:pStyle w:val="BodyText"/>
        <w:spacing w:line="316" w:lineRule="auto"/>
        <w:ind w:left="131" w:right="1502" w:firstLine="628"/>
        <w:rPr>
          <w:rFonts w:ascii="仿宋" w:eastAsia="仿宋" w:hint="eastAsia"/>
        </w:rPr>
      </w:pPr>
      <w:r>
        <w:rPr>
          <w:rFonts w:ascii="仿宋" w:eastAsia="仿宋" w:hint="eastAsia"/>
          <w:w w:val="95"/>
        </w:rPr>
        <w:t>3</w:t>
      </w:r>
      <w:r>
        <w:rPr>
          <w:rFonts w:ascii="仿宋" w:eastAsia="仿宋" w:hint="eastAsia"/>
          <w:spacing w:val="-16"/>
          <w:w w:val="95"/>
        </w:rPr>
        <w:t>、学校按时进行部门预算公开和部门决算公开，保持长期公 </w:t>
      </w:r>
      <w:r>
        <w:rPr>
          <w:rFonts w:ascii="仿宋" w:eastAsia="仿宋" w:hint="eastAsia"/>
          <w:spacing w:val="-5"/>
        </w:rPr>
        <w:t>开状态，随时接受社会各界的查询和监督。</w:t>
      </w:r>
    </w:p>
    <w:p>
      <w:pPr>
        <w:pStyle w:val="BodyText"/>
        <w:spacing w:line="316" w:lineRule="auto"/>
        <w:ind w:left="131" w:right="1500" w:firstLine="628"/>
        <w:jc w:val="both"/>
        <w:rPr>
          <w:rFonts w:ascii="仿宋" w:eastAsia="仿宋" w:hint="eastAsia"/>
        </w:rPr>
      </w:pPr>
      <w:r>
        <w:rPr>
          <w:rFonts w:ascii="仿宋" w:eastAsia="仿宋" w:hint="eastAsia"/>
          <w:w w:val="95"/>
        </w:rPr>
        <w:t>4</w:t>
      </w:r>
      <w:r>
        <w:rPr>
          <w:rFonts w:ascii="仿宋" w:eastAsia="仿宋" w:hint="eastAsia"/>
          <w:spacing w:val="-17"/>
          <w:w w:val="95"/>
        </w:rPr>
        <w:t>、内控制度管理方面，学校按区财政、区教育局内控管理要 </w:t>
      </w:r>
      <w:r>
        <w:rPr>
          <w:rFonts w:ascii="仿宋" w:eastAsia="仿宋" w:hint="eastAsia"/>
          <w:spacing w:val="-3"/>
          <w:w w:val="95"/>
        </w:rPr>
        <w:t>求，按时上报内控管理情况、按要求进行自查评分等事项，并随 着内控管理理念的时代要求不断进行调整，管理效果呈螺旋式上 升趋势。在资产管理方面，按时上报各类资产报表，严格按程序 </w:t>
      </w:r>
      <w:r>
        <w:rPr>
          <w:rFonts w:ascii="仿宋" w:eastAsia="仿宋" w:hint="eastAsia"/>
          <w:spacing w:val="-5"/>
        </w:rPr>
        <w:t>报废资产，资产增减有据可查。</w:t>
      </w:r>
    </w:p>
    <w:p>
      <w:pPr>
        <w:pStyle w:val="BodyText"/>
        <w:spacing w:line="316" w:lineRule="auto"/>
        <w:ind w:left="131" w:right="1500" w:firstLine="628"/>
        <w:jc w:val="both"/>
        <w:rPr>
          <w:rFonts w:ascii="仿宋" w:hAnsi="仿宋" w:eastAsia="仿宋" w:hint="eastAsia"/>
        </w:rPr>
      </w:pPr>
      <w:r>
        <w:rPr>
          <w:rFonts w:ascii="仿宋" w:hAnsi="仿宋" w:eastAsia="仿宋" w:hint="eastAsia"/>
          <w:w w:val="95"/>
        </w:rPr>
        <w:t>5</w:t>
      </w:r>
      <w:r>
        <w:rPr>
          <w:rFonts w:ascii="仿宋" w:hAnsi="仿宋" w:eastAsia="仿宋" w:hint="eastAsia"/>
          <w:spacing w:val="-17"/>
          <w:w w:val="95"/>
        </w:rPr>
        <w:t>、学校严格按“三公经费”管理制度执行，真正落实中共中 </w:t>
      </w:r>
      <w:r>
        <w:rPr>
          <w:rFonts w:ascii="仿宋" w:hAnsi="仿宋" w:eastAsia="仿宋" w:hint="eastAsia"/>
          <w:spacing w:val="-1"/>
        </w:rPr>
        <w:t>央关于改进工作作风、密切联系群众的“八项规定” 和厉行勤</w:t>
      </w:r>
      <w:r>
        <w:rPr>
          <w:rFonts w:ascii="仿宋" w:hAnsi="仿宋" w:eastAsia="仿宋" w:hint="eastAsia"/>
          <w:spacing w:val="-3"/>
          <w:w w:val="95"/>
        </w:rPr>
        <w:t>俭节约、反对铺张浪费的相关要求，进一步规范了公务接待费、 公务用车购置及运行维护费、因公出国经费的监督管理，努力降 </w:t>
      </w:r>
      <w:r>
        <w:rPr>
          <w:rFonts w:ascii="仿宋" w:hAnsi="仿宋" w:eastAsia="仿宋" w:hint="eastAsia"/>
          <w:spacing w:val="-5"/>
          <w:w w:val="95"/>
        </w:rPr>
        <w:t>低行政运行成本，推进“三公”经费管理长期化、规范化和制度 </w:t>
      </w:r>
      <w:r>
        <w:rPr>
          <w:rFonts w:ascii="仿宋" w:hAnsi="仿宋" w:eastAsia="仿宋" w:hint="eastAsia"/>
          <w:spacing w:val="-5"/>
        </w:rPr>
        <w:t>化，不断巩固和深化厉行节约工作成果。</w:t>
      </w:r>
    </w:p>
    <w:p>
      <w:pPr>
        <w:spacing w:after="0" w:line="316" w:lineRule="auto"/>
        <w:jc w:val="both"/>
        <w:rPr>
          <w:rFonts w:ascii="仿宋" w:hAnsi="仿宋" w:eastAsia="仿宋" w:hint="eastAsia"/>
        </w:rPr>
        <w:sectPr>
          <w:pgSz w:w="11910" w:h="16840"/>
          <w:pgMar w:header="0" w:footer="1384" w:top="1580" w:bottom="1580" w:left="1400" w:right="0"/>
        </w:sectPr>
      </w:pPr>
    </w:p>
    <w:p>
      <w:pPr>
        <w:pStyle w:val="BodyText"/>
        <w:rPr>
          <w:rFonts w:ascii="仿宋"/>
          <w:sz w:val="20"/>
        </w:rPr>
      </w:pPr>
    </w:p>
    <w:p>
      <w:pPr>
        <w:pStyle w:val="BodyText"/>
        <w:spacing w:before="10"/>
        <w:rPr>
          <w:rFonts w:ascii="仿宋"/>
          <w:sz w:val="19"/>
        </w:rPr>
      </w:pPr>
    </w:p>
    <w:p>
      <w:pPr>
        <w:pStyle w:val="BodyText"/>
        <w:spacing w:before="27"/>
        <w:ind w:left="760"/>
        <w:rPr>
          <w:rFonts w:ascii="方正黑体_GBK" w:eastAsia="方正黑体_GBK" w:hint="eastAsia"/>
        </w:rPr>
      </w:pPr>
      <w:r>
        <w:rPr>
          <w:rFonts w:ascii="方正黑体_GBK" w:eastAsia="方正黑体_GBK" w:hint="eastAsia"/>
        </w:rPr>
        <w:t>四、部门履职效能</w:t>
      </w:r>
    </w:p>
    <w:p>
      <w:pPr>
        <w:pStyle w:val="BodyText"/>
        <w:spacing w:before="30"/>
        <w:ind w:left="445"/>
        <w:rPr>
          <w:rFonts w:ascii="微软雅黑" w:eastAsia="微软雅黑" w:hint="eastAsia"/>
        </w:rPr>
      </w:pPr>
      <w:r>
        <w:rPr>
          <w:rFonts w:ascii="微软雅黑" w:eastAsia="微软雅黑" w:hint="eastAsia"/>
        </w:rPr>
        <w:t>（一）部门履职的年度总体目标。</w:t>
      </w:r>
    </w:p>
    <w:p>
      <w:pPr>
        <w:pStyle w:val="BodyText"/>
        <w:spacing w:line="316" w:lineRule="auto" w:before="110"/>
        <w:ind w:left="131" w:right="1500" w:firstLine="628"/>
        <w:jc w:val="both"/>
        <w:rPr>
          <w:rFonts w:ascii="仿宋" w:eastAsia="仿宋" w:hint="eastAsia"/>
        </w:rPr>
      </w:pPr>
      <w:r>
        <w:rPr>
          <w:rFonts w:ascii="仿宋" w:eastAsia="仿宋" w:hint="eastAsia"/>
          <w:spacing w:val="-3"/>
          <w:w w:val="95"/>
        </w:rPr>
        <w:t>认真贯彻执行省、市、区有关教育工作的方针政策和法律、 </w:t>
      </w:r>
      <w:r>
        <w:rPr>
          <w:rFonts w:ascii="仿宋" w:eastAsia="仿宋" w:hint="eastAsia"/>
          <w:spacing w:val="-4"/>
          <w:w w:val="95"/>
        </w:rPr>
        <w:t>法规、规章。正常有序完成教育教学任务。组织落实入学、招生 政策和计划。促进学校的行风建设。落实学校工作的教育督导和 </w:t>
      </w:r>
      <w:r>
        <w:rPr>
          <w:rFonts w:ascii="仿宋" w:eastAsia="仿宋" w:hint="eastAsia"/>
          <w:spacing w:val="-5"/>
          <w:w w:val="95"/>
        </w:rPr>
        <w:t>评估。完成学校教师和管理人员队伍建设工作。加强学校教育经 </w:t>
      </w:r>
      <w:r>
        <w:rPr>
          <w:rFonts w:ascii="仿宋" w:eastAsia="仿宋" w:hint="eastAsia"/>
          <w:spacing w:val="-4"/>
          <w:w w:val="95"/>
        </w:rPr>
        <w:t>费的使用与管理。完成学校安全管理工作。完成教育基本信息统 </w:t>
      </w:r>
      <w:r>
        <w:rPr>
          <w:rFonts w:ascii="仿宋" w:eastAsia="仿宋" w:hint="eastAsia"/>
          <w:spacing w:val="-5"/>
        </w:rPr>
        <w:t>计、分析、上报工作。</w:t>
      </w:r>
    </w:p>
    <w:p>
      <w:pPr>
        <w:pStyle w:val="BodyText"/>
        <w:spacing w:line="463" w:lineRule="exact"/>
        <w:ind w:left="445"/>
        <w:rPr>
          <w:rFonts w:ascii="微软雅黑" w:eastAsia="微软雅黑" w:hint="eastAsia"/>
        </w:rPr>
      </w:pPr>
      <w:r>
        <w:rPr>
          <w:rFonts w:ascii="微软雅黑" w:eastAsia="微软雅黑" w:hint="eastAsia"/>
        </w:rPr>
        <w:t>（二）重点工作任务绩效目标完成情况。</w:t>
      </w:r>
    </w:p>
    <w:p>
      <w:pPr>
        <w:pStyle w:val="BodyText"/>
        <w:spacing w:line="316" w:lineRule="auto" w:before="108"/>
        <w:ind w:left="131" w:right="1344" w:firstLine="628"/>
        <w:rPr>
          <w:rFonts w:ascii="仿宋" w:eastAsia="仿宋" w:hint="eastAsia"/>
        </w:rPr>
      </w:pPr>
      <w:r>
        <w:rPr>
          <w:rFonts w:ascii="仿宋" w:eastAsia="仿宋" w:hint="eastAsia"/>
        </w:rPr>
        <w:t>2019</w:t>
      </w:r>
      <w:r>
        <w:rPr>
          <w:rFonts w:ascii="仿宋" w:eastAsia="仿宋" w:hint="eastAsia"/>
          <w:spacing w:val="-17"/>
        </w:rPr>
        <w:t> 年，学校认真学习践行习近平新时代中国特色社会主义</w:t>
      </w:r>
      <w:r>
        <w:rPr>
          <w:rFonts w:ascii="仿宋" w:eastAsia="仿宋" w:hint="eastAsia"/>
          <w:spacing w:val="-17"/>
          <w:w w:val="95"/>
        </w:rPr>
        <w:t>思想理念，加强作风建设，带头遵守政治纪律、落实科学发展观， </w:t>
      </w:r>
      <w:r>
        <w:rPr>
          <w:rFonts w:ascii="仿宋" w:eastAsia="仿宋" w:hint="eastAsia"/>
          <w:spacing w:val="-5"/>
        </w:rPr>
        <w:t>努力践行新人文教育理念。</w:t>
      </w:r>
    </w:p>
    <w:p>
      <w:pPr>
        <w:pStyle w:val="BodyText"/>
        <w:spacing w:line="316" w:lineRule="auto"/>
        <w:ind w:left="131" w:right="1500" w:firstLine="628"/>
        <w:jc w:val="both"/>
        <w:rPr>
          <w:rFonts w:ascii="仿宋" w:eastAsia="仿宋" w:hint="eastAsia"/>
        </w:rPr>
      </w:pPr>
      <w:r>
        <w:rPr>
          <w:rFonts w:ascii="仿宋" w:eastAsia="仿宋" w:hint="eastAsia"/>
          <w:spacing w:val="-3"/>
          <w:w w:val="95"/>
        </w:rPr>
        <w:t>四川省成都市青苏职业中专学校严格按照项目进度，合理安 排资金，保证了学校项目工作按计划进行，现全年目标任务已全 部完成。四川省成都市青苏职业中专学校本年度项目绩效目标在 单位领导和财务负责人的共同领导下，前期准备工作充分，项目 资金到位及时，工作进度、指标运行严格按照规定时间实施，各 </w:t>
      </w:r>
      <w:r>
        <w:rPr>
          <w:rFonts w:ascii="仿宋" w:eastAsia="仿宋" w:hint="eastAsia"/>
          <w:spacing w:val="-5"/>
        </w:rPr>
        <w:t>项任务严格按计划、按进度完成，质量良好。</w:t>
      </w:r>
    </w:p>
    <w:p>
      <w:pPr>
        <w:pStyle w:val="BodyText"/>
        <w:spacing w:line="422" w:lineRule="exact"/>
        <w:ind w:left="604"/>
        <w:rPr>
          <w:rFonts w:ascii="方正黑体_GBK" w:eastAsia="方正黑体_GBK" w:hint="eastAsia"/>
        </w:rPr>
      </w:pPr>
      <w:r>
        <w:rPr>
          <w:rFonts w:ascii="方正黑体_GBK" w:eastAsia="方正黑体_GBK" w:hint="eastAsia"/>
        </w:rPr>
        <w:t>五、评价结论及措施</w:t>
      </w:r>
    </w:p>
    <w:p>
      <w:pPr>
        <w:pStyle w:val="BodyText"/>
        <w:spacing w:before="26"/>
        <w:ind w:left="445"/>
        <w:rPr>
          <w:rFonts w:ascii="微软雅黑" w:eastAsia="微软雅黑" w:hint="eastAsia"/>
        </w:rPr>
      </w:pPr>
      <w:r>
        <w:rPr>
          <w:rFonts w:ascii="微软雅黑" w:eastAsia="微软雅黑" w:hint="eastAsia"/>
          <w:spacing w:val="-3"/>
          <w:w w:val="95"/>
        </w:rPr>
        <w:t>（</w:t>
      </w:r>
      <w:r>
        <w:rPr>
          <w:rFonts w:ascii="微软雅黑" w:eastAsia="微软雅黑" w:hint="eastAsia"/>
          <w:spacing w:val="-5"/>
          <w:w w:val="95"/>
        </w:rPr>
        <w:t>一</w:t>
      </w:r>
      <w:r>
        <w:rPr>
          <w:rFonts w:ascii="微软雅黑" w:eastAsia="微软雅黑" w:hint="eastAsia"/>
          <w:spacing w:val="-3"/>
          <w:w w:val="95"/>
        </w:rPr>
        <w:t>）评价结论</w:t>
      </w:r>
    </w:p>
    <w:p>
      <w:pPr>
        <w:pStyle w:val="BodyText"/>
        <w:spacing w:line="316" w:lineRule="auto" w:before="108"/>
        <w:ind w:left="131" w:right="1500" w:firstLine="628"/>
        <w:jc w:val="both"/>
        <w:rPr>
          <w:rFonts w:ascii="仿宋" w:eastAsia="仿宋" w:hint="eastAsia"/>
        </w:rPr>
      </w:pPr>
      <w:r>
        <w:rPr>
          <w:rFonts w:ascii="仿宋" w:eastAsia="仿宋" w:hint="eastAsia"/>
          <w:spacing w:val="-3"/>
          <w:w w:val="95"/>
        </w:rPr>
        <w:t>资金投入目标明确，配置合理；预算执行情况良好，预算管 理规范，决算工作及时准确；项目支出绩效良好。整体目标绩效 </w:t>
      </w:r>
      <w:r>
        <w:rPr>
          <w:rFonts w:ascii="仿宋" w:eastAsia="仿宋" w:hint="eastAsia"/>
          <w:spacing w:val="-20"/>
        </w:rPr>
        <w:t>自评得分 </w:t>
      </w:r>
      <w:r>
        <w:rPr>
          <w:rFonts w:ascii="仿宋" w:eastAsia="仿宋" w:hint="eastAsia"/>
        </w:rPr>
        <w:t>100</w:t>
      </w:r>
      <w:r>
        <w:rPr>
          <w:rFonts w:ascii="仿宋" w:eastAsia="仿宋" w:hint="eastAsia"/>
          <w:spacing w:val="-30"/>
        </w:rPr>
        <w:t> 分。</w:t>
      </w:r>
    </w:p>
    <w:p>
      <w:pPr>
        <w:spacing w:after="0" w:line="316" w:lineRule="auto"/>
        <w:jc w:val="both"/>
        <w:rPr>
          <w:rFonts w:ascii="仿宋" w:eastAsia="仿宋" w:hint="eastAsia"/>
        </w:rPr>
        <w:sectPr>
          <w:pgSz w:w="11910" w:h="16840"/>
          <w:pgMar w:header="0" w:footer="1384" w:top="1580" w:bottom="1580" w:left="1400" w:right="0"/>
        </w:sectPr>
      </w:pPr>
    </w:p>
    <w:p>
      <w:pPr>
        <w:pStyle w:val="BodyText"/>
        <w:rPr>
          <w:rFonts w:ascii="Times New Roman"/>
          <w:sz w:val="20"/>
        </w:rPr>
      </w:pPr>
      <w:r>
        <w:rPr/>
        <w:pict>
          <v:shape style="position:absolute;margin-left:120.444374pt;margin-top:259.280029pt;width:11pt;height:10.95pt;mso-position-horizontal-relative:page;mso-position-vertical-relative:page;z-index:-253690880" type="#_x0000_t202" filled="false" stroked="false">
            <v:textbox inset="0,0,0,0" style="layout-flow:vertical">
              <w:txbxContent>
                <w:p>
                  <w:pPr>
                    <w:spacing w:line="220" w:lineRule="exact" w:before="0"/>
                    <w:ind w:left="20" w:right="0" w:firstLine="0"/>
                    <w:jc w:val="left"/>
                    <w:rPr>
                      <w:rFonts w:ascii="宋体"/>
                      <w:sz w:val="18"/>
                    </w:rPr>
                  </w:pPr>
                  <w:r>
                    <w:rPr>
                      <w:rFonts w:ascii="宋体"/>
                      <w:sz w:val="18"/>
                    </w:rPr>
                    <w:t>20</w:t>
                  </w:r>
                </w:p>
              </w:txbxContent>
            </v:textbox>
            <w10:wrap type="none"/>
          </v:shape>
        </w:pict>
      </w:r>
      <w:r>
        <w:rPr/>
        <w:pict>
          <v:shape style="position:absolute;margin-left:120.444374pt;margin-top:424.040039pt;width:11pt;height:10.95pt;mso-position-horizontal-relative:page;mso-position-vertical-relative:page;z-index:-253689856" type="#_x0000_t202" filled="false" stroked="false">
            <v:textbox inset="0,0,0,0" style="layout-flow:vertical">
              <w:txbxContent>
                <w:p>
                  <w:pPr>
                    <w:spacing w:line="220" w:lineRule="exact" w:before="0"/>
                    <w:ind w:left="20" w:right="0" w:firstLine="0"/>
                    <w:jc w:val="left"/>
                    <w:rPr>
                      <w:rFonts w:ascii="宋体"/>
                      <w:sz w:val="18"/>
                    </w:rPr>
                  </w:pPr>
                  <w:r>
                    <w:rPr>
                      <w:rFonts w:ascii="宋体"/>
                      <w:sz w:val="18"/>
                    </w:rPr>
                    <w:t>30</w:t>
                  </w:r>
                </w:p>
              </w:txbxContent>
            </v:textbox>
            <w10:wrap type="none"/>
          </v:shape>
        </w:pict>
      </w:r>
      <w:r>
        <w:rPr/>
        <w:pict>
          <v:shape style="position:absolute;margin-left:120.444374pt;margin-top:603.680054pt;width:11pt;height:10.95pt;mso-position-horizontal-relative:page;mso-position-vertical-relative:page;z-index:-253688832" type="#_x0000_t202" filled="false" stroked="false">
            <v:textbox inset="0,0,0,0" style="layout-flow:vertical">
              <w:txbxContent>
                <w:p>
                  <w:pPr>
                    <w:spacing w:line="220" w:lineRule="exact" w:before="0"/>
                    <w:ind w:left="20" w:right="0" w:firstLine="0"/>
                    <w:jc w:val="left"/>
                    <w:rPr>
                      <w:rFonts w:ascii="宋体"/>
                      <w:sz w:val="18"/>
                    </w:rPr>
                  </w:pPr>
                  <w:r>
                    <w:rPr>
                      <w:rFonts w:ascii="宋体"/>
                      <w:sz w:val="18"/>
                    </w:rPr>
                    <w:t>40</w:t>
                  </w:r>
                </w:p>
              </w:txbxContent>
            </v:textbox>
            <w10:wrap type="none"/>
          </v:shape>
        </w:pict>
      </w:r>
    </w:p>
    <w:p>
      <w:pPr>
        <w:pStyle w:val="BodyText"/>
        <w:spacing w:before="5"/>
        <w:rPr>
          <w:rFonts w:ascii="Times New Roman"/>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3"/>
        <w:gridCol w:w="3224"/>
        <w:gridCol w:w="2542"/>
        <w:gridCol w:w="743"/>
        <w:gridCol w:w="938"/>
      </w:tblGrid>
      <w:tr>
        <w:trPr>
          <w:trHeight w:val="589" w:hRule="atLeast"/>
        </w:trPr>
        <w:tc>
          <w:tcPr>
            <w:tcW w:w="8860" w:type="dxa"/>
            <w:gridSpan w:val="5"/>
          </w:tcPr>
          <w:p>
            <w:pPr>
              <w:pStyle w:val="TableParagraph"/>
              <w:spacing w:before="139"/>
              <w:ind w:left="768"/>
              <w:rPr>
                <w:rFonts w:ascii="方正舒体" w:eastAsia="方正舒体" w:hint="eastAsia"/>
                <w:sz w:val="24"/>
              </w:rPr>
            </w:pPr>
            <w:r>
              <w:rPr>
                <w:rFonts w:ascii="方正舒体" w:eastAsia="方正舒体" w:hint="eastAsia"/>
                <w:sz w:val="24"/>
              </w:rPr>
              <w:t>2019 年四川省成都市青苏职业中专学校部门整体支出绩效评价指标体系</w:t>
            </w:r>
          </w:p>
        </w:tc>
      </w:tr>
      <w:tr>
        <w:trPr>
          <w:trHeight w:val="588" w:hRule="atLeast"/>
        </w:trPr>
        <w:tc>
          <w:tcPr>
            <w:tcW w:w="1413" w:type="dxa"/>
          </w:tcPr>
          <w:p>
            <w:pPr>
              <w:pStyle w:val="TableParagraph"/>
              <w:spacing w:before="2"/>
              <w:rPr>
                <w:rFonts w:ascii="Times New Roman"/>
                <w:sz w:val="16"/>
              </w:rPr>
            </w:pPr>
          </w:p>
          <w:p>
            <w:pPr>
              <w:pStyle w:val="TableParagraph"/>
              <w:ind w:left="353"/>
              <w:rPr>
                <w:rFonts w:ascii="宋体" w:eastAsia="宋体" w:hint="eastAsia"/>
                <w:b/>
                <w:sz w:val="18"/>
              </w:rPr>
            </w:pPr>
            <w:r>
              <w:rPr>
                <w:rFonts w:ascii="宋体" w:eastAsia="宋体" w:hint="eastAsia"/>
                <w:b/>
                <w:sz w:val="18"/>
              </w:rPr>
              <w:t>一级指标</w:t>
            </w:r>
          </w:p>
        </w:tc>
        <w:tc>
          <w:tcPr>
            <w:tcW w:w="3224" w:type="dxa"/>
          </w:tcPr>
          <w:p>
            <w:pPr>
              <w:pStyle w:val="TableParagraph"/>
              <w:spacing w:before="2"/>
              <w:rPr>
                <w:rFonts w:ascii="Times New Roman"/>
                <w:sz w:val="16"/>
              </w:rPr>
            </w:pPr>
          </w:p>
          <w:p>
            <w:pPr>
              <w:pStyle w:val="TableParagraph"/>
              <w:ind w:left="872" w:right="859"/>
              <w:jc w:val="center"/>
              <w:rPr>
                <w:rFonts w:ascii="宋体" w:eastAsia="宋体" w:hint="eastAsia"/>
                <w:b/>
                <w:sz w:val="18"/>
              </w:rPr>
            </w:pPr>
            <w:r>
              <w:rPr>
                <w:rFonts w:ascii="宋体" w:eastAsia="宋体" w:hint="eastAsia"/>
                <w:b/>
                <w:sz w:val="18"/>
              </w:rPr>
              <w:t>二级指标</w:t>
            </w:r>
          </w:p>
        </w:tc>
        <w:tc>
          <w:tcPr>
            <w:tcW w:w="2542" w:type="dxa"/>
          </w:tcPr>
          <w:p>
            <w:pPr>
              <w:pStyle w:val="TableParagraph"/>
              <w:spacing w:before="2"/>
              <w:rPr>
                <w:rFonts w:ascii="Times New Roman"/>
                <w:sz w:val="16"/>
              </w:rPr>
            </w:pPr>
          </w:p>
          <w:p>
            <w:pPr>
              <w:pStyle w:val="TableParagraph"/>
              <w:ind w:left="25" w:right="8"/>
              <w:jc w:val="center"/>
              <w:rPr>
                <w:rFonts w:ascii="宋体" w:eastAsia="宋体" w:hint="eastAsia"/>
                <w:b/>
                <w:sz w:val="18"/>
              </w:rPr>
            </w:pPr>
            <w:r>
              <w:rPr>
                <w:rFonts w:ascii="宋体" w:eastAsia="宋体" w:hint="eastAsia"/>
                <w:b/>
                <w:sz w:val="18"/>
              </w:rPr>
              <w:t>三级指标</w:t>
            </w:r>
          </w:p>
        </w:tc>
        <w:tc>
          <w:tcPr>
            <w:tcW w:w="743" w:type="dxa"/>
          </w:tcPr>
          <w:p>
            <w:pPr>
              <w:pStyle w:val="TableParagraph"/>
              <w:spacing w:before="2"/>
              <w:rPr>
                <w:rFonts w:ascii="Times New Roman"/>
                <w:sz w:val="16"/>
              </w:rPr>
            </w:pPr>
          </w:p>
          <w:p>
            <w:pPr>
              <w:pStyle w:val="TableParagraph"/>
              <w:ind w:left="171" w:right="159"/>
              <w:jc w:val="center"/>
              <w:rPr>
                <w:rFonts w:ascii="宋体" w:eastAsia="宋体" w:hint="eastAsia"/>
                <w:b/>
                <w:sz w:val="18"/>
              </w:rPr>
            </w:pPr>
            <w:r>
              <w:rPr>
                <w:rFonts w:ascii="宋体" w:eastAsia="宋体" w:hint="eastAsia"/>
                <w:b/>
                <w:sz w:val="18"/>
              </w:rPr>
              <w:t>分值</w:t>
            </w:r>
          </w:p>
        </w:tc>
        <w:tc>
          <w:tcPr>
            <w:tcW w:w="938" w:type="dxa"/>
          </w:tcPr>
          <w:p>
            <w:pPr>
              <w:pStyle w:val="TableParagraph"/>
              <w:spacing w:before="2"/>
              <w:rPr>
                <w:rFonts w:ascii="Times New Roman"/>
                <w:sz w:val="16"/>
              </w:rPr>
            </w:pPr>
          </w:p>
          <w:p>
            <w:pPr>
              <w:pStyle w:val="TableParagraph"/>
              <w:ind w:left="271" w:right="255"/>
              <w:jc w:val="center"/>
              <w:rPr>
                <w:rFonts w:ascii="宋体" w:eastAsia="宋体" w:hint="eastAsia"/>
                <w:b/>
                <w:sz w:val="18"/>
              </w:rPr>
            </w:pPr>
            <w:r>
              <w:rPr>
                <w:rFonts w:ascii="宋体" w:eastAsia="宋体" w:hint="eastAsia"/>
                <w:b/>
                <w:sz w:val="18"/>
              </w:rPr>
              <w:t>得分</w:t>
            </w:r>
          </w:p>
        </w:tc>
      </w:tr>
      <w:tr>
        <w:trPr>
          <w:trHeight w:val="589" w:hRule="atLeast"/>
        </w:trPr>
        <w:tc>
          <w:tcPr>
            <w:tcW w:w="1413" w:type="dxa"/>
            <w:vMerge w:val="restart"/>
            <w:textDirection w:val="tbRl"/>
          </w:tcPr>
          <w:p>
            <w:pPr>
              <w:pStyle w:val="TableParagraph"/>
              <w:spacing w:before="5"/>
              <w:rPr>
                <w:rFonts w:ascii="Times New Roman"/>
                <w:sz w:val="19"/>
              </w:rPr>
            </w:pPr>
          </w:p>
          <w:p>
            <w:pPr>
              <w:pStyle w:val="TableParagraph"/>
              <w:tabs>
                <w:tab w:pos="2121" w:val="left" w:leader="none"/>
              </w:tabs>
              <w:spacing w:line="602" w:lineRule="auto"/>
              <w:ind w:left="1725" w:right="1704"/>
              <w:jc w:val="center"/>
              <w:rPr>
                <w:rFonts w:ascii="宋体" w:eastAsia="宋体" w:hint="eastAsia"/>
                <w:sz w:val="18"/>
              </w:rPr>
            </w:pPr>
            <w:r>
              <w:rPr>
                <w:rFonts w:ascii="宋体" w:eastAsia="宋体" w:hint="eastAsia"/>
                <w:sz w:val="18"/>
              </w:rPr>
              <w:t>（</w:t>
              <w:tab/>
            </w:r>
            <w:r>
              <w:rPr>
                <w:rFonts w:ascii="宋体" w:eastAsia="宋体" w:hint="eastAsia"/>
                <w:spacing w:val="-5"/>
                <w:sz w:val="18"/>
              </w:rPr>
              <w:t>分</w:t>
            </w:r>
            <w:r>
              <w:rPr>
                <w:rFonts w:ascii="宋体" w:eastAsia="宋体" w:hint="eastAsia"/>
                <w:spacing w:val="-17"/>
                <w:sz w:val="18"/>
              </w:rPr>
              <w:t>） </w:t>
            </w:r>
            <w:r>
              <w:rPr>
                <w:rFonts w:ascii="宋体" w:eastAsia="宋体" w:hint="eastAsia"/>
                <w:spacing w:val="-4"/>
                <w:sz w:val="18"/>
              </w:rPr>
              <w:t>预算编制</w:t>
            </w:r>
          </w:p>
        </w:tc>
        <w:tc>
          <w:tcPr>
            <w:tcW w:w="322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4"/>
              </w:rPr>
            </w:pPr>
          </w:p>
          <w:p>
            <w:pPr>
              <w:pStyle w:val="TableParagraph"/>
              <w:spacing w:before="1"/>
              <w:ind w:left="932"/>
              <w:rPr>
                <w:rFonts w:ascii="宋体" w:eastAsia="宋体" w:hint="eastAsia"/>
                <w:sz w:val="18"/>
              </w:rPr>
            </w:pPr>
            <w:r>
              <w:rPr>
                <w:rFonts w:ascii="宋体" w:eastAsia="宋体" w:hint="eastAsia"/>
                <w:sz w:val="18"/>
              </w:rPr>
              <w:t>绩效目标（8 分）</w:t>
            </w:r>
          </w:p>
        </w:tc>
        <w:tc>
          <w:tcPr>
            <w:tcW w:w="2542" w:type="dxa"/>
          </w:tcPr>
          <w:p>
            <w:pPr>
              <w:pStyle w:val="TableParagraph"/>
              <w:rPr>
                <w:rFonts w:ascii="Times New Roman"/>
                <w:sz w:val="16"/>
              </w:rPr>
            </w:pPr>
          </w:p>
          <w:p>
            <w:pPr>
              <w:pStyle w:val="TableParagraph"/>
              <w:spacing w:before="1"/>
              <w:ind w:left="27" w:right="8"/>
              <w:jc w:val="center"/>
              <w:rPr>
                <w:rFonts w:ascii="宋体" w:eastAsia="宋体" w:hint="eastAsia"/>
                <w:sz w:val="18"/>
              </w:rPr>
            </w:pPr>
            <w:r>
              <w:rPr>
                <w:rFonts w:ascii="宋体" w:eastAsia="宋体" w:hint="eastAsia"/>
                <w:sz w:val="18"/>
              </w:rPr>
              <w:t>目标填报</w:t>
            </w:r>
          </w:p>
        </w:tc>
        <w:tc>
          <w:tcPr>
            <w:tcW w:w="743" w:type="dxa"/>
          </w:tcPr>
          <w:p>
            <w:pPr>
              <w:pStyle w:val="TableParagraph"/>
              <w:rPr>
                <w:rFonts w:ascii="Times New Roman"/>
                <w:sz w:val="16"/>
              </w:rPr>
            </w:pPr>
          </w:p>
          <w:p>
            <w:pPr>
              <w:pStyle w:val="TableParagraph"/>
              <w:spacing w:before="1"/>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spacing w:before="1"/>
              <w:ind w:left="13"/>
              <w:jc w:val="center"/>
              <w:rPr>
                <w:rFonts w:ascii="宋体"/>
                <w:sz w:val="18"/>
              </w:rPr>
            </w:pPr>
            <w:r>
              <w:rPr>
                <w:rFonts w:ascii="宋体"/>
                <w:sz w:val="18"/>
              </w:rPr>
              <w:t>2</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spacing w:before="1"/>
              <w:ind w:left="25" w:right="8"/>
              <w:jc w:val="center"/>
              <w:rPr>
                <w:rFonts w:ascii="宋体" w:eastAsia="宋体" w:hint="eastAsia"/>
                <w:sz w:val="18"/>
              </w:rPr>
            </w:pPr>
            <w:r>
              <w:rPr>
                <w:rFonts w:ascii="宋体" w:eastAsia="宋体" w:hint="eastAsia"/>
                <w:sz w:val="18"/>
              </w:rPr>
              <w:t>目标完整性</w:t>
            </w:r>
          </w:p>
        </w:tc>
        <w:tc>
          <w:tcPr>
            <w:tcW w:w="743" w:type="dxa"/>
          </w:tcPr>
          <w:p>
            <w:pPr>
              <w:pStyle w:val="TableParagraph"/>
              <w:spacing w:before="1"/>
              <w:rPr>
                <w:rFonts w:ascii="Times New Roman"/>
                <w:sz w:val="16"/>
              </w:rPr>
            </w:pPr>
          </w:p>
          <w:p>
            <w:pPr>
              <w:pStyle w:val="TableParagraph"/>
              <w:spacing w:before="1"/>
              <w:ind w:left="14"/>
              <w:jc w:val="center"/>
              <w:rPr>
                <w:rFonts w:ascii="宋体"/>
                <w:sz w:val="18"/>
              </w:rPr>
            </w:pPr>
            <w:r>
              <w:rPr>
                <w:rFonts w:ascii="宋体"/>
                <w:sz w:val="18"/>
              </w:rPr>
              <w:t>3</w:t>
            </w:r>
          </w:p>
        </w:tc>
        <w:tc>
          <w:tcPr>
            <w:tcW w:w="938" w:type="dxa"/>
          </w:tcPr>
          <w:p>
            <w:pPr>
              <w:pStyle w:val="TableParagraph"/>
              <w:spacing w:before="1"/>
              <w:rPr>
                <w:rFonts w:ascii="Times New Roman"/>
                <w:sz w:val="16"/>
              </w:rPr>
            </w:pPr>
          </w:p>
          <w:p>
            <w:pPr>
              <w:pStyle w:val="TableParagraph"/>
              <w:spacing w:before="1"/>
              <w:ind w:left="13"/>
              <w:jc w:val="center"/>
              <w:rPr>
                <w:rFonts w:ascii="宋体"/>
                <w:sz w:val="18"/>
              </w:rPr>
            </w:pPr>
            <w:r>
              <w:rPr>
                <w:rFonts w:ascii="宋体"/>
                <w:sz w:val="18"/>
              </w:rPr>
              <w:t>3</w:t>
            </w:r>
          </w:p>
        </w:tc>
      </w:tr>
      <w:tr>
        <w:trPr>
          <w:trHeight w:val="589"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目标量化</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3</w:t>
            </w:r>
          </w:p>
        </w:tc>
      </w:tr>
      <w:tr>
        <w:trPr>
          <w:trHeight w:val="589" w:hRule="atLeast"/>
        </w:trPr>
        <w:tc>
          <w:tcPr>
            <w:tcW w:w="1413" w:type="dxa"/>
            <w:vMerge/>
            <w:tcBorders>
              <w:top w:val="nil"/>
            </w:tcBorders>
            <w:textDirection w:val="tbRl"/>
          </w:tcPr>
          <w:p>
            <w:pPr>
              <w:rPr>
                <w:sz w:val="2"/>
                <w:szCs w:val="2"/>
              </w:rPr>
            </w:pPr>
          </w:p>
        </w:tc>
        <w:tc>
          <w:tcPr>
            <w:tcW w:w="322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2"/>
              </w:rPr>
            </w:pPr>
          </w:p>
          <w:p>
            <w:pPr>
              <w:pStyle w:val="TableParagraph"/>
              <w:ind w:left="888"/>
              <w:rPr>
                <w:rFonts w:ascii="宋体" w:eastAsia="宋体" w:hint="eastAsia"/>
                <w:sz w:val="18"/>
              </w:rPr>
            </w:pPr>
            <w:r>
              <w:rPr>
                <w:rFonts w:ascii="宋体" w:eastAsia="宋体" w:hint="eastAsia"/>
                <w:sz w:val="18"/>
              </w:rPr>
              <w:t>预算编制（12 分）</w:t>
            </w:r>
          </w:p>
        </w:tc>
        <w:tc>
          <w:tcPr>
            <w:tcW w:w="2542" w:type="dxa"/>
          </w:tcPr>
          <w:p>
            <w:pPr>
              <w:pStyle w:val="TableParagraph"/>
              <w:spacing w:before="1"/>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预算安排准确性</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6</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6</w:t>
            </w:r>
          </w:p>
        </w:tc>
      </w:tr>
      <w:tr>
        <w:trPr>
          <w:trHeight w:val="589"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报送时效、质量</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项目分类</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2"/>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人大预算审查</w:t>
            </w:r>
          </w:p>
        </w:tc>
        <w:tc>
          <w:tcPr>
            <w:tcW w:w="743" w:type="dxa"/>
          </w:tcPr>
          <w:p>
            <w:pPr>
              <w:pStyle w:val="TableParagraph"/>
              <w:spacing w:before="2"/>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2"/>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val="restart"/>
            <w:textDirection w:val="tbRl"/>
          </w:tcPr>
          <w:p>
            <w:pPr>
              <w:pStyle w:val="TableParagraph"/>
              <w:spacing w:before="5"/>
              <w:rPr>
                <w:rFonts w:ascii="Times New Roman"/>
                <w:sz w:val="19"/>
              </w:rPr>
            </w:pPr>
          </w:p>
          <w:p>
            <w:pPr>
              <w:pStyle w:val="TableParagraph"/>
              <w:tabs>
                <w:tab w:pos="1223" w:val="left" w:leader="none"/>
              </w:tabs>
              <w:spacing w:line="602" w:lineRule="auto"/>
              <w:ind w:left="827" w:right="805"/>
              <w:jc w:val="center"/>
              <w:rPr>
                <w:rFonts w:ascii="宋体" w:eastAsia="宋体" w:hint="eastAsia"/>
                <w:sz w:val="18"/>
              </w:rPr>
            </w:pPr>
            <w:r>
              <w:rPr>
                <w:rFonts w:ascii="宋体" w:eastAsia="宋体" w:hint="eastAsia"/>
                <w:sz w:val="18"/>
              </w:rPr>
              <w:t>（</w:t>
              <w:tab/>
            </w:r>
            <w:r>
              <w:rPr>
                <w:rFonts w:ascii="宋体" w:eastAsia="宋体" w:hint="eastAsia"/>
                <w:spacing w:val="-5"/>
                <w:sz w:val="18"/>
              </w:rPr>
              <w:t>分</w:t>
            </w:r>
            <w:r>
              <w:rPr>
                <w:rFonts w:ascii="宋体" w:eastAsia="宋体" w:hint="eastAsia"/>
                <w:spacing w:val="-17"/>
                <w:sz w:val="18"/>
              </w:rPr>
              <w:t>） </w:t>
            </w:r>
            <w:r>
              <w:rPr>
                <w:rFonts w:ascii="宋体" w:eastAsia="宋体" w:hint="eastAsia"/>
                <w:spacing w:val="-4"/>
                <w:sz w:val="18"/>
              </w:rPr>
              <w:t>预算执行</w:t>
            </w:r>
          </w:p>
        </w:tc>
        <w:tc>
          <w:tcPr>
            <w:tcW w:w="3224" w:type="dxa"/>
            <w:vMerge w:val="restart"/>
          </w:tcPr>
          <w:p>
            <w:pPr>
              <w:pStyle w:val="TableParagraph"/>
              <w:rPr>
                <w:rFonts w:ascii="Times New Roman"/>
                <w:sz w:val="18"/>
              </w:rPr>
            </w:pPr>
          </w:p>
          <w:p>
            <w:pPr>
              <w:pStyle w:val="TableParagraph"/>
              <w:spacing w:before="1"/>
              <w:rPr>
                <w:rFonts w:ascii="Times New Roman"/>
                <w:sz w:val="24"/>
              </w:rPr>
            </w:pPr>
          </w:p>
          <w:p>
            <w:pPr>
              <w:pStyle w:val="TableParagraph"/>
              <w:ind w:left="888"/>
              <w:rPr>
                <w:rFonts w:ascii="宋体" w:eastAsia="宋体" w:hint="eastAsia"/>
                <w:sz w:val="18"/>
              </w:rPr>
            </w:pPr>
            <w:r>
              <w:rPr>
                <w:rFonts w:ascii="宋体" w:eastAsia="宋体" w:hint="eastAsia"/>
                <w:sz w:val="18"/>
              </w:rPr>
              <w:t>执行进度（20 分）</w:t>
            </w:r>
          </w:p>
        </w:tc>
        <w:tc>
          <w:tcPr>
            <w:tcW w:w="2542" w:type="dxa"/>
          </w:tcPr>
          <w:p>
            <w:pPr>
              <w:pStyle w:val="TableParagraph"/>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部门总体执行进度</w:t>
            </w:r>
          </w:p>
        </w:tc>
        <w:tc>
          <w:tcPr>
            <w:tcW w:w="743" w:type="dxa"/>
          </w:tcPr>
          <w:p>
            <w:pPr>
              <w:pStyle w:val="TableParagraph"/>
              <w:rPr>
                <w:rFonts w:ascii="Times New Roman"/>
                <w:sz w:val="16"/>
              </w:rPr>
            </w:pPr>
          </w:p>
          <w:p>
            <w:pPr>
              <w:pStyle w:val="TableParagraph"/>
              <w:ind w:left="170" w:right="159"/>
              <w:jc w:val="center"/>
              <w:rPr>
                <w:rFonts w:ascii="宋体"/>
                <w:sz w:val="18"/>
              </w:rPr>
            </w:pPr>
            <w:r>
              <w:rPr>
                <w:rFonts w:ascii="宋体"/>
                <w:sz w:val="18"/>
              </w:rPr>
              <w:t>15</w:t>
            </w:r>
          </w:p>
        </w:tc>
        <w:tc>
          <w:tcPr>
            <w:tcW w:w="938" w:type="dxa"/>
          </w:tcPr>
          <w:p>
            <w:pPr>
              <w:pStyle w:val="TableParagraph"/>
              <w:rPr>
                <w:rFonts w:ascii="Times New Roman"/>
                <w:sz w:val="16"/>
              </w:rPr>
            </w:pPr>
          </w:p>
          <w:p>
            <w:pPr>
              <w:pStyle w:val="TableParagraph"/>
              <w:ind w:left="270" w:right="255"/>
              <w:jc w:val="center"/>
              <w:rPr>
                <w:rFonts w:ascii="宋体"/>
                <w:sz w:val="18"/>
              </w:rPr>
            </w:pPr>
            <w:r>
              <w:rPr>
                <w:rFonts w:ascii="宋体"/>
                <w:sz w:val="18"/>
              </w:rPr>
              <w:t>15</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专项资金预算下达</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5</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5</w:t>
            </w:r>
          </w:p>
        </w:tc>
      </w:tr>
      <w:tr>
        <w:trPr>
          <w:trHeight w:val="589" w:hRule="atLeast"/>
        </w:trPr>
        <w:tc>
          <w:tcPr>
            <w:tcW w:w="1413" w:type="dxa"/>
            <w:vMerge/>
            <w:tcBorders>
              <w:top w:val="nil"/>
            </w:tcBorders>
            <w:textDirection w:val="tbRl"/>
          </w:tcPr>
          <w:p>
            <w:pPr>
              <w:rPr>
                <w:sz w:val="2"/>
                <w:szCs w:val="2"/>
              </w:rPr>
            </w:pPr>
          </w:p>
        </w:tc>
        <w:tc>
          <w:tcPr>
            <w:tcW w:w="3224" w:type="dxa"/>
          </w:tcPr>
          <w:p>
            <w:pPr>
              <w:pStyle w:val="TableParagraph"/>
              <w:rPr>
                <w:rFonts w:ascii="Times New Roman"/>
                <w:sz w:val="16"/>
              </w:rPr>
            </w:pPr>
          </w:p>
          <w:p>
            <w:pPr>
              <w:pStyle w:val="TableParagraph"/>
              <w:ind w:left="874" w:right="859"/>
              <w:jc w:val="center"/>
              <w:rPr>
                <w:rFonts w:ascii="宋体" w:eastAsia="宋体" w:hint="eastAsia"/>
                <w:sz w:val="18"/>
              </w:rPr>
            </w:pPr>
            <w:r>
              <w:rPr>
                <w:rFonts w:ascii="宋体" w:eastAsia="宋体" w:hint="eastAsia"/>
                <w:sz w:val="18"/>
              </w:rPr>
              <w:t>预算调整（7 分）</w:t>
            </w:r>
          </w:p>
        </w:tc>
        <w:tc>
          <w:tcPr>
            <w:tcW w:w="2542" w:type="dxa"/>
          </w:tcPr>
          <w:p>
            <w:pPr>
              <w:pStyle w:val="TableParagraph"/>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执行中期调整</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7</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7</w:t>
            </w:r>
          </w:p>
        </w:tc>
      </w:tr>
      <w:tr>
        <w:trPr>
          <w:trHeight w:val="588" w:hRule="atLeast"/>
        </w:trPr>
        <w:tc>
          <w:tcPr>
            <w:tcW w:w="1413" w:type="dxa"/>
            <w:vMerge/>
            <w:tcBorders>
              <w:top w:val="nil"/>
            </w:tcBorders>
            <w:textDirection w:val="tbRl"/>
          </w:tcPr>
          <w:p>
            <w:pPr>
              <w:rPr>
                <w:sz w:val="2"/>
                <w:szCs w:val="2"/>
              </w:rPr>
            </w:pPr>
          </w:p>
        </w:tc>
        <w:tc>
          <w:tcPr>
            <w:tcW w:w="3224" w:type="dxa"/>
          </w:tcPr>
          <w:p>
            <w:pPr>
              <w:pStyle w:val="TableParagraph"/>
              <w:spacing w:before="1"/>
              <w:rPr>
                <w:rFonts w:ascii="Times New Roman"/>
                <w:sz w:val="16"/>
              </w:rPr>
            </w:pPr>
          </w:p>
          <w:p>
            <w:pPr>
              <w:pStyle w:val="TableParagraph"/>
              <w:ind w:left="874" w:right="859"/>
              <w:jc w:val="center"/>
              <w:rPr>
                <w:rFonts w:ascii="宋体" w:eastAsia="宋体" w:hint="eastAsia"/>
                <w:sz w:val="18"/>
              </w:rPr>
            </w:pPr>
            <w:r>
              <w:rPr>
                <w:rFonts w:ascii="宋体" w:eastAsia="宋体" w:hint="eastAsia"/>
                <w:sz w:val="18"/>
              </w:rPr>
              <w:t>行政成本（3 分）</w:t>
            </w:r>
          </w:p>
        </w:tc>
        <w:tc>
          <w:tcPr>
            <w:tcW w:w="2542" w:type="dxa"/>
          </w:tcPr>
          <w:p>
            <w:pPr>
              <w:pStyle w:val="TableParagraph"/>
              <w:spacing w:before="1"/>
              <w:rPr>
                <w:rFonts w:ascii="Times New Roman"/>
                <w:sz w:val="16"/>
              </w:rPr>
            </w:pPr>
          </w:p>
          <w:p>
            <w:pPr>
              <w:pStyle w:val="TableParagraph"/>
              <w:ind w:left="29" w:right="8"/>
              <w:jc w:val="center"/>
              <w:rPr>
                <w:rFonts w:ascii="宋体" w:hAnsi="宋体" w:eastAsia="宋体" w:hint="eastAsia"/>
                <w:sz w:val="18"/>
              </w:rPr>
            </w:pPr>
            <w:r>
              <w:rPr>
                <w:rFonts w:ascii="宋体" w:hAnsi="宋体" w:eastAsia="宋体" w:hint="eastAsia"/>
                <w:sz w:val="18"/>
              </w:rPr>
              <w:t>“三公”经费控制</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3</w:t>
            </w:r>
          </w:p>
        </w:tc>
      </w:tr>
      <w:tr>
        <w:trPr>
          <w:trHeight w:val="589" w:hRule="atLeast"/>
        </w:trPr>
        <w:tc>
          <w:tcPr>
            <w:tcW w:w="1413" w:type="dxa"/>
            <w:vMerge w:val="restart"/>
            <w:textDirection w:val="tbRl"/>
          </w:tcPr>
          <w:p>
            <w:pPr>
              <w:pStyle w:val="TableParagraph"/>
              <w:spacing w:before="5"/>
              <w:rPr>
                <w:rFonts w:ascii="Times New Roman"/>
                <w:sz w:val="19"/>
              </w:rPr>
            </w:pPr>
          </w:p>
          <w:p>
            <w:pPr>
              <w:pStyle w:val="TableParagraph"/>
              <w:tabs>
                <w:tab w:pos="2420" w:val="left" w:leader="none"/>
              </w:tabs>
              <w:spacing w:line="602" w:lineRule="auto"/>
              <w:ind w:left="2024" w:right="2002"/>
              <w:jc w:val="center"/>
              <w:rPr>
                <w:rFonts w:ascii="宋体" w:eastAsia="宋体" w:hint="eastAsia"/>
                <w:sz w:val="18"/>
              </w:rPr>
            </w:pPr>
            <w:r>
              <w:rPr>
                <w:rFonts w:ascii="宋体" w:eastAsia="宋体" w:hint="eastAsia"/>
                <w:sz w:val="18"/>
              </w:rPr>
              <w:t>（</w:t>
              <w:tab/>
            </w:r>
            <w:r>
              <w:rPr>
                <w:rFonts w:ascii="宋体" w:eastAsia="宋体" w:hint="eastAsia"/>
                <w:spacing w:val="-5"/>
                <w:sz w:val="18"/>
              </w:rPr>
              <w:t>分</w:t>
            </w:r>
            <w:r>
              <w:rPr>
                <w:rFonts w:ascii="宋体" w:eastAsia="宋体" w:hint="eastAsia"/>
                <w:spacing w:val="-17"/>
                <w:sz w:val="18"/>
              </w:rPr>
              <w:t>） </w:t>
            </w:r>
            <w:r>
              <w:rPr>
                <w:rFonts w:ascii="宋体" w:eastAsia="宋体" w:hint="eastAsia"/>
                <w:spacing w:val="-4"/>
                <w:sz w:val="18"/>
              </w:rPr>
              <w:t>综合管理</w:t>
            </w:r>
          </w:p>
        </w:tc>
        <w:tc>
          <w:tcPr>
            <w:tcW w:w="322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932"/>
              <w:rPr>
                <w:rFonts w:ascii="宋体" w:eastAsia="宋体" w:hint="eastAsia"/>
                <w:sz w:val="18"/>
              </w:rPr>
            </w:pPr>
            <w:r>
              <w:rPr>
                <w:rFonts w:ascii="宋体" w:eastAsia="宋体" w:hint="eastAsia"/>
                <w:sz w:val="18"/>
              </w:rPr>
              <w:t>基础管理（6 分）</w:t>
            </w:r>
          </w:p>
        </w:tc>
        <w:tc>
          <w:tcPr>
            <w:tcW w:w="2542" w:type="dxa"/>
          </w:tcPr>
          <w:p>
            <w:pPr>
              <w:pStyle w:val="TableParagraph"/>
              <w:spacing w:before="2"/>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管理制度健全性</w:t>
            </w:r>
          </w:p>
        </w:tc>
        <w:tc>
          <w:tcPr>
            <w:tcW w:w="743" w:type="dxa"/>
          </w:tcPr>
          <w:p>
            <w:pPr>
              <w:pStyle w:val="TableParagraph"/>
              <w:spacing w:before="2"/>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2"/>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rPr>
                <w:rFonts w:ascii="Times New Roman"/>
                <w:sz w:val="16"/>
              </w:rPr>
            </w:pPr>
          </w:p>
          <w:p>
            <w:pPr>
              <w:pStyle w:val="TableParagraph"/>
              <w:spacing w:before="1"/>
              <w:ind w:left="27" w:right="8"/>
              <w:jc w:val="center"/>
              <w:rPr>
                <w:rFonts w:ascii="宋体" w:eastAsia="宋体" w:hint="eastAsia"/>
                <w:sz w:val="18"/>
              </w:rPr>
            </w:pPr>
            <w:r>
              <w:rPr>
                <w:rFonts w:ascii="宋体" w:eastAsia="宋体" w:hint="eastAsia"/>
                <w:sz w:val="18"/>
              </w:rPr>
              <w:t>资金使用合规性</w:t>
            </w:r>
          </w:p>
        </w:tc>
        <w:tc>
          <w:tcPr>
            <w:tcW w:w="743" w:type="dxa"/>
          </w:tcPr>
          <w:p>
            <w:pPr>
              <w:pStyle w:val="TableParagraph"/>
              <w:rPr>
                <w:rFonts w:ascii="Times New Roman"/>
                <w:sz w:val="16"/>
              </w:rPr>
            </w:pPr>
          </w:p>
          <w:p>
            <w:pPr>
              <w:pStyle w:val="TableParagraph"/>
              <w:spacing w:before="1"/>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spacing w:before="1"/>
              <w:ind w:left="13"/>
              <w:jc w:val="center"/>
              <w:rPr>
                <w:rFonts w:ascii="宋体"/>
                <w:sz w:val="18"/>
              </w:rPr>
            </w:pPr>
            <w:r>
              <w:rPr>
                <w:rFonts w:ascii="宋体"/>
                <w:sz w:val="18"/>
              </w:rPr>
              <w:t>2</w:t>
            </w:r>
          </w:p>
        </w:tc>
      </w:tr>
      <w:tr>
        <w:trPr>
          <w:trHeight w:val="589"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spacing w:before="1"/>
              <w:ind w:left="27" w:right="8"/>
              <w:jc w:val="center"/>
              <w:rPr>
                <w:rFonts w:ascii="宋体" w:eastAsia="宋体" w:hint="eastAsia"/>
                <w:sz w:val="18"/>
              </w:rPr>
            </w:pPr>
            <w:r>
              <w:rPr>
                <w:rFonts w:ascii="宋体" w:eastAsia="宋体" w:hint="eastAsia"/>
                <w:sz w:val="18"/>
              </w:rPr>
              <w:t>会计核算</w:t>
            </w:r>
          </w:p>
        </w:tc>
        <w:tc>
          <w:tcPr>
            <w:tcW w:w="743" w:type="dxa"/>
          </w:tcPr>
          <w:p>
            <w:pPr>
              <w:pStyle w:val="TableParagraph"/>
              <w:spacing w:before="1"/>
              <w:rPr>
                <w:rFonts w:ascii="Times New Roman"/>
                <w:sz w:val="16"/>
              </w:rPr>
            </w:pPr>
          </w:p>
          <w:p>
            <w:pPr>
              <w:pStyle w:val="TableParagraph"/>
              <w:spacing w:before="1"/>
              <w:ind w:left="14"/>
              <w:jc w:val="center"/>
              <w:rPr>
                <w:rFonts w:ascii="宋体"/>
                <w:sz w:val="18"/>
              </w:rPr>
            </w:pPr>
            <w:r>
              <w:rPr>
                <w:rFonts w:ascii="宋体"/>
                <w:sz w:val="18"/>
              </w:rPr>
              <w:t>2</w:t>
            </w:r>
          </w:p>
        </w:tc>
        <w:tc>
          <w:tcPr>
            <w:tcW w:w="938" w:type="dxa"/>
          </w:tcPr>
          <w:p>
            <w:pPr>
              <w:pStyle w:val="TableParagraph"/>
              <w:spacing w:before="1"/>
              <w:rPr>
                <w:rFonts w:ascii="Times New Roman"/>
                <w:sz w:val="16"/>
              </w:rPr>
            </w:pPr>
          </w:p>
          <w:p>
            <w:pPr>
              <w:pStyle w:val="TableParagraph"/>
              <w:spacing w:before="1"/>
              <w:ind w:left="13"/>
              <w:jc w:val="center"/>
              <w:rPr>
                <w:rFonts w:ascii="宋体"/>
                <w:sz w:val="18"/>
              </w:rPr>
            </w:pPr>
            <w:r>
              <w:rPr>
                <w:rFonts w:ascii="宋体"/>
                <w:sz w:val="18"/>
              </w:rPr>
              <w:t>2</w:t>
            </w:r>
          </w:p>
        </w:tc>
      </w:tr>
      <w:tr>
        <w:trPr>
          <w:trHeight w:val="588" w:hRule="atLeast"/>
        </w:trPr>
        <w:tc>
          <w:tcPr>
            <w:tcW w:w="1413" w:type="dxa"/>
            <w:vMerge/>
            <w:tcBorders>
              <w:top w:val="nil"/>
            </w:tcBorders>
            <w:textDirection w:val="tbRl"/>
          </w:tcPr>
          <w:p>
            <w:pPr>
              <w:rPr>
                <w:sz w:val="2"/>
                <w:szCs w:val="2"/>
              </w:rPr>
            </w:pPr>
          </w:p>
        </w:tc>
        <w:tc>
          <w:tcPr>
            <w:tcW w:w="3224" w:type="dxa"/>
            <w:vMerge w:val="restart"/>
          </w:tcPr>
          <w:p>
            <w:pPr>
              <w:pStyle w:val="TableParagraph"/>
              <w:rPr>
                <w:rFonts w:ascii="Times New Roman"/>
                <w:sz w:val="18"/>
              </w:rPr>
            </w:pPr>
          </w:p>
          <w:p>
            <w:pPr>
              <w:pStyle w:val="TableParagraph"/>
              <w:spacing w:before="1"/>
              <w:rPr>
                <w:rFonts w:ascii="Times New Roman"/>
                <w:sz w:val="24"/>
              </w:rPr>
            </w:pPr>
          </w:p>
          <w:p>
            <w:pPr>
              <w:pStyle w:val="TableParagraph"/>
              <w:ind w:left="581"/>
              <w:rPr>
                <w:rFonts w:ascii="宋体" w:eastAsia="宋体" w:hint="eastAsia"/>
                <w:sz w:val="18"/>
              </w:rPr>
            </w:pPr>
            <w:r>
              <w:rPr>
                <w:rFonts w:ascii="宋体" w:eastAsia="宋体" w:hint="eastAsia"/>
                <w:sz w:val="18"/>
              </w:rPr>
              <w:t>非税收入执收情况（6 分）</w:t>
            </w:r>
          </w:p>
        </w:tc>
        <w:tc>
          <w:tcPr>
            <w:tcW w:w="2542" w:type="dxa"/>
          </w:tcPr>
          <w:p>
            <w:pPr>
              <w:pStyle w:val="TableParagraph"/>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非税收入征收情况</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3</w:t>
            </w:r>
          </w:p>
        </w:tc>
      </w:tr>
      <w:tr>
        <w:trPr>
          <w:trHeight w:val="589"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非税收入上缴情况</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3</w:t>
            </w:r>
          </w:p>
        </w:tc>
      </w:tr>
      <w:tr>
        <w:trPr>
          <w:trHeight w:val="589" w:hRule="atLeast"/>
        </w:trPr>
        <w:tc>
          <w:tcPr>
            <w:tcW w:w="1413" w:type="dxa"/>
            <w:vMerge/>
            <w:tcBorders>
              <w:top w:val="nil"/>
            </w:tcBorders>
            <w:textDirection w:val="tbRl"/>
          </w:tcPr>
          <w:p>
            <w:pPr>
              <w:rPr>
                <w:sz w:val="2"/>
                <w:szCs w:val="2"/>
              </w:rPr>
            </w:pPr>
          </w:p>
        </w:tc>
        <w:tc>
          <w:tcPr>
            <w:tcW w:w="3224" w:type="dxa"/>
            <w:vMerge w:val="restart"/>
          </w:tcPr>
          <w:p>
            <w:pPr>
              <w:pStyle w:val="TableParagraph"/>
              <w:rPr>
                <w:rFonts w:ascii="Times New Roman"/>
                <w:sz w:val="18"/>
              </w:rPr>
            </w:pPr>
          </w:p>
          <w:p>
            <w:pPr>
              <w:pStyle w:val="TableParagraph"/>
              <w:spacing w:before="1"/>
              <w:rPr>
                <w:rFonts w:ascii="Times New Roman"/>
                <w:sz w:val="24"/>
              </w:rPr>
            </w:pPr>
          </w:p>
          <w:p>
            <w:pPr>
              <w:pStyle w:val="TableParagraph"/>
              <w:ind w:left="581"/>
              <w:rPr>
                <w:rFonts w:ascii="宋体" w:eastAsia="宋体" w:hint="eastAsia"/>
                <w:sz w:val="18"/>
              </w:rPr>
            </w:pPr>
            <w:r>
              <w:rPr>
                <w:rFonts w:ascii="宋体" w:eastAsia="宋体" w:hint="eastAsia"/>
                <w:sz w:val="18"/>
              </w:rPr>
              <w:t>政府采购实施计划（6 分）</w:t>
            </w:r>
          </w:p>
        </w:tc>
        <w:tc>
          <w:tcPr>
            <w:tcW w:w="2542" w:type="dxa"/>
          </w:tcPr>
          <w:p>
            <w:pPr>
              <w:pStyle w:val="TableParagraph"/>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政府采购实施计划编制</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3</w:t>
            </w:r>
          </w:p>
        </w:tc>
      </w:tr>
      <w:tr>
        <w:trPr>
          <w:trHeight w:val="588" w:hRule="atLeast"/>
        </w:trPr>
        <w:tc>
          <w:tcPr>
            <w:tcW w:w="1413" w:type="dxa"/>
            <w:vMerge/>
            <w:tcBorders>
              <w:top w:val="nil"/>
            </w:tcBorders>
            <w:textDirection w:val="tbRl"/>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政府采购实施计划执行</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3</w:t>
            </w:r>
          </w:p>
        </w:tc>
      </w:tr>
      <w:tr>
        <w:trPr>
          <w:trHeight w:val="587" w:hRule="atLeast"/>
        </w:trPr>
        <w:tc>
          <w:tcPr>
            <w:tcW w:w="1413" w:type="dxa"/>
            <w:vMerge/>
            <w:tcBorders>
              <w:top w:val="nil"/>
            </w:tcBorders>
            <w:textDirection w:val="tbRl"/>
          </w:tcPr>
          <w:p>
            <w:pPr>
              <w:rPr>
                <w:sz w:val="2"/>
                <w:szCs w:val="2"/>
              </w:rPr>
            </w:pPr>
          </w:p>
        </w:tc>
        <w:tc>
          <w:tcPr>
            <w:tcW w:w="3224" w:type="dxa"/>
          </w:tcPr>
          <w:p>
            <w:pPr>
              <w:pStyle w:val="TableParagraph"/>
              <w:spacing w:before="2"/>
              <w:rPr>
                <w:rFonts w:ascii="Times New Roman"/>
                <w:sz w:val="16"/>
              </w:rPr>
            </w:pPr>
          </w:p>
          <w:p>
            <w:pPr>
              <w:pStyle w:val="TableParagraph"/>
              <w:ind w:left="874" w:right="859"/>
              <w:jc w:val="center"/>
              <w:rPr>
                <w:rFonts w:ascii="宋体" w:eastAsia="宋体" w:hint="eastAsia"/>
                <w:sz w:val="18"/>
              </w:rPr>
            </w:pPr>
            <w:r>
              <w:rPr>
                <w:rFonts w:ascii="宋体" w:eastAsia="宋体" w:hint="eastAsia"/>
                <w:sz w:val="18"/>
              </w:rPr>
              <w:t>资产管理（6 分）</w:t>
            </w:r>
          </w:p>
        </w:tc>
        <w:tc>
          <w:tcPr>
            <w:tcW w:w="2542" w:type="dxa"/>
          </w:tcPr>
          <w:p>
            <w:pPr>
              <w:pStyle w:val="TableParagraph"/>
              <w:spacing w:before="2"/>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资产信息系统建设情况</w:t>
            </w:r>
          </w:p>
        </w:tc>
        <w:tc>
          <w:tcPr>
            <w:tcW w:w="743" w:type="dxa"/>
          </w:tcPr>
          <w:p>
            <w:pPr>
              <w:pStyle w:val="TableParagraph"/>
              <w:spacing w:before="2"/>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2"/>
              <w:rPr>
                <w:rFonts w:ascii="Times New Roman"/>
                <w:sz w:val="16"/>
              </w:rPr>
            </w:pPr>
          </w:p>
          <w:p>
            <w:pPr>
              <w:pStyle w:val="TableParagraph"/>
              <w:ind w:left="13"/>
              <w:jc w:val="center"/>
              <w:rPr>
                <w:rFonts w:ascii="宋体"/>
                <w:sz w:val="18"/>
              </w:rPr>
            </w:pPr>
            <w:r>
              <w:rPr>
                <w:rFonts w:ascii="宋体"/>
                <w:sz w:val="18"/>
              </w:rPr>
              <w:t>2</w:t>
            </w:r>
          </w:p>
        </w:tc>
      </w:tr>
    </w:tbl>
    <w:p>
      <w:pPr>
        <w:spacing w:after="0"/>
        <w:jc w:val="center"/>
        <w:rPr>
          <w:rFonts w:ascii="宋体"/>
          <w:sz w:val="18"/>
        </w:rPr>
        <w:sectPr>
          <w:footerReference w:type="even" r:id="rId20"/>
          <w:footerReference w:type="default" r:id="rId21"/>
          <w:pgSz w:w="11910" w:h="16840"/>
          <w:pgMar w:footer="1304" w:header="0" w:top="1580" w:bottom="1500" w:left="1400" w:right="0"/>
          <w:pgNumType w:start="20"/>
        </w:sectPr>
      </w:pPr>
    </w:p>
    <w:p>
      <w:pPr>
        <w:pStyle w:val="BodyText"/>
        <w:rPr>
          <w:rFonts w:ascii="Times New Roman"/>
          <w:sz w:val="20"/>
        </w:rPr>
      </w:pPr>
    </w:p>
    <w:p>
      <w:pPr>
        <w:pStyle w:val="BodyText"/>
        <w:spacing w:before="5"/>
        <w:rPr>
          <w:rFonts w:ascii="Times New Roman"/>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3"/>
        <w:gridCol w:w="3224"/>
        <w:gridCol w:w="2542"/>
        <w:gridCol w:w="743"/>
        <w:gridCol w:w="938"/>
      </w:tblGrid>
      <w:tr>
        <w:trPr>
          <w:trHeight w:val="589" w:hRule="atLeast"/>
        </w:trPr>
        <w:tc>
          <w:tcPr>
            <w:tcW w:w="1413" w:type="dxa"/>
            <w:vMerge w:val="restart"/>
          </w:tcPr>
          <w:p>
            <w:pPr>
              <w:pStyle w:val="TableParagraph"/>
              <w:rPr>
                <w:rFonts w:ascii="Times New Roman"/>
                <w:sz w:val="18"/>
              </w:rPr>
            </w:pPr>
          </w:p>
        </w:tc>
        <w:tc>
          <w:tcPr>
            <w:tcW w:w="3224" w:type="dxa"/>
            <w:vMerge w:val="restart"/>
          </w:tcPr>
          <w:p>
            <w:pPr>
              <w:pStyle w:val="TableParagraph"/>
              <w:rPr>
                <w:rFonts w:ascii="Times New Roman"/>
                <w:sz w:val="18"/>
              </w:rPr>
            </w:pPr>
          </w:p>
        </w:tc>
        <w:tc>
          <w:tcPr>
            <w:tcW w:w="2542" w:type="dxa"/>
          </w:tcPr>
          <w:p>
            <w:pPr>
              <w:pStyle w:val="TableParagraph"/>
              <w:spacing w:before="1"/>
              <w:rPr>
                <w:rFonts w:ascii="Times New Roman"/>
                <w:sz w:val="16"/>
              </w:rPr>
            </w:pPr>
          </w:p>
          <w:p>
            <w:pPr>
              <w:pStyle w:val="TableParagraph"/>
              <w:ind w:left="34" w:right="8"/>
              <w:jc w:val="center"/>
              <w:rPr>
                <w:rFonts w:ascii="宋体" w:eastAsia="宋体" w:hint="eastAsia"/>
                <w:sz w:val="18"/>
              </w:rPr>
            </w:pPr>
            <w:r>
              <w:rPr>
                <w:rFonts w:ascii="宋体" w:eastAsia="宋体" w:hint="eastAsia"/>
                <w:spacing w:val="-5"/>
                <w:sz w:val="18"/>
              </w:rPr>
              <w:t>行政事业单位资产清查开展情况</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spacing w:before="2"/>
              <w:rPr>
                <w:rFonts w:ascii="Times New Roman"/>
                <w:sz w:val="16"/>
              </w:rPr>
            </w:pPr>
          </w:p>
          <w:p>
            <w:pPr>
              <w:pStyle w:val="TableParagraph"/>
              <w:ind w:left="34" w:right="8"/>
              <w:jc w:val="center"/>
              <w:rPr>
                <w:rFonts w:ascii="宋体" w:eastAsia="宋体" w:hint="eastAsia"/>
                <w:sz w:val="18"/>
              </w:rPr>
            </w:pPr>
            <w:r>
              <w:rPr>
                <w:rFonts w:ascii="宋体" w:eastAsia="宋体" w:hint="eastAsia"/>
                <w:spacing w:val="-5"/>
                <w:sz w:val="18"/>
              </w:rPr>
              <w:t>行政事业单位资产报表上报情况</w:t>
            </w:r>
          </w:p>
        </w:tc>
        <w:tc>
          <w:tcPr>
            <w:tcW w:w="743" w:type="dxa"/>
          </w:tcPr>
          <w:p>
            <w:pPr>
              <w:pStyle w:val="TableParagraph"/>
              <w:spacing w:before="2"/>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2"/>
              <w:rPr>
                <w:rFonts w:ascii="Times New Roman"/>
                <w:sz w:val="16"/>
              </w:rPr>
            </w:pPr>
          </w:p>
          <w:p>
            <w:pPr>
              <w:pStyle w:val="TableParagraph"/>
              <w:ind w:left="13"/>
              <w:jc w:val="center"/>
              <w:rPr>
                <w:rFonts w:ascii="宋体"/>
                <w:sz w:val="18"/>
              </w:rPr>
            </w:pPr>
            <w:r>
              <w:rPr>
                <w:rFonts w:ascii="宋体"/>
                <w:sz w:val="18"/>
              </w:rPr>
              <w:t>2</w:t>
            </w:r>
          </w:p>
        </w:tc>
      </w:tr>
      <w:tr>
        <w:trPr>
          <w:trHeight w:val="589" w:hRule="atLeast"/>
        </w:trPr>
        <w:tc>
          <w:tcPr>
            <w:tcW w:w="1413" w:type="dxa"/>
            <w:vMerge/>
            <w:tcBorders>
              <w:top w:val="nil"/>
            </w:tcBorders>
          </w:tcPr>
          <w:p>
            <w:pPr>
              <w:rPr>
                <w:sz w:val="2"/>
                <w:szCs w:val="2"/>
              </w:rPr>
            </w:pPr>
          </w:p>
        </w:tc>
        <w:tc>
          <w:tcPr>
            <w:tcW w:w="322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4"/>
              </w:rPr>
            </w:pPr>
          </w:p>
          <w:p>
            <w:pPr>
              <w:pStyle w:val="TableParagraph"/>
              <w:spacing w:before="1"/>
              <w:ind w:left="932"/>
              <w:rPr>
                <w:rFonts w:ascii="宋体" w:eastAsia="宋体" w:hint="eastAsia"/>
                <w:sz w:val="18"/>
              </w:rPr>
            </w:pPr>
            <w:r>
              <w:rPr>
                <w:rFonts w:ascii="宋体" w:eastAsia="宋体" w:hint="eastAsia"/>
                <w:sz w:val="18"/>
              </w:rPr>
              <w:t>信息公开（6 分）</w:t>
            </w:r>
          </w:p>
        </w:tc>
        <w:tc>
          <w:tcPr>
            <w:tcW w:w="2542" w:type="dxa"/>
          </w:tcPr>
          <w:p>
            <w:pPr>
              <w:pStyle w:val="TableParagraph"/>
              <w:rPr>
                <w:rFonts w:ascii="Times New Roman"/>
                <w:sz w:val="16"/>
              </w:rPr>
            </w:pPr>
          </w:p>
          <w:p>
            <w:pPr>
              <w:pStyle w:val="TableParagraph"/>
              <w:spacing w:before="1"/>
              <w:ind w:left="27" w:right="8"/>
              <w:jc w:val="center"/>
              <w:rPr>
                <w:rFonts w:ascii="宋体" w:eastAsia="宋体" w:hint="eastAsia"/>
                <w:sz w:val="18"/>
              </w:rPr>
            </w:pPr>
            <w:r>
              <w:rPr>
                <w:rFonts w:ascii="宋体" w:eastAsia="宋体" w:hint="eastAsia"/>
                <w:sz w:val="18"/>
              </w:rPr>
              <w:t>预算信息公开</w:t>
            </w:r>
          </w:p>
        </w:tc>
        <w:tc>
          <w:tcPr>
            <w:tcW w:w="743" w:type="dxa"/>
          </w:tcPr>
          <w:p>
            <w:pPr>
              <w:pStyle w:val="TableParagraph"/>
              <w:rPr>
                <w:rFonts w:ascii="Times New Roman"/>
                <w:sz w:val="16"/>
              </w:rPr>
            </w:pPr>
          </w:p>
          <w:p>
            <w:pPr>
              <w:pStyle w:val="TableParagraph"/>
              <w:spacing w:before="1"/>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spacing w:before="1"/>
              <w:ind w:left="13"/>
              <w:jc w:val="center"/>
              <w:rPr>
                <w:rFonts w:ascii="宋体"/>
                <w:sz w:val="18"/>
              </w:rPr>
            </w:pPr>
            <w:r>
              <w:rPr>
                <w:rFonts w:ascii="宋体"/>
                <w:sz w:val="18"/>
              </w:rPr>
              <w:t>2</w:t>
            </w:r>
          </w:p>
        </w:tc>
      </w:tr>
      <w:tr>
        <w:trPr>
          <w:trHeight w:val="588"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spacing w:before="1"/>
              <w:ind w:left="27" w:right="8"/>
              <w:jc w:val="center"/>
              <w:rPr>
                <w:rFonts w:ascii="宋体" w:eastAsia="宋体" w:hint="eastAsia"/>
                <w:sz w:val="18"/>
              </w:rPr>
            </w:pPr>
            <w:r>
              <w:rPr>
                <w:rFonts w:ascii="宋体" w:eastAsia="宋体" w:hint="eastAsia"/>
                <w:sz w:val="18"/>
              </w:rPr>
              <w:t>决算信息公开</w:t>
            </w:r>
          </w:p>
        </w:tc>
        <w:tc>
          <w:tcPr>
            <w:tcW w:w="743" w:type="dxa"/>
          </w:tcPr>
          <w:p>
            <w:pPr>
              <w:pStyle w:val="TableParagraph"/>
              <w:spacing w:before="1"/>
              <w:rPr>
                <w:rFonts w:ascii="Times New Roman"/>
                <w:sz w:val="16"/>
              </w:rPr>
            </w:pPr>
          </w:p>
          <w:p>
            <w:pPr>
              <w:pStyle w:val="TableParagraph"/>
              <w:spacing w:before="1"/>
              <w:ind w:left="14"/>
              <w:jc w:val="center"/>
              <w:rPr>
                <w:rFonts w:ascii="宋体"/>
                <w:sz w:val="18"/>
              </w:rPr>
            </w:pPr>
            <w:r>
              <w:rPr>
                <w:rFonts w:ascii="宋体"/>
                <w:sz w:val="18"/>
              </w:rPr>
              <w:t>2</w:t>
            </w:r>
          </w:p>
        </w:tc>
        <w:tc>
          <w:tcPr>
            <w:tcW w:w="938" w:type="dxa"/>
          </w:tcPr>
          <w:p>
            <w:pPr>
              <w:pStyle w:val="TableParagraph"/>
              <w:spacing w:before="1"/>
              <w:rPr>
                <w:rFonts w:ascii="Times New Roman"/>
                <w:sz w:val="16"/>
              </w:rPr>
            </w:pPr>
          </w:p>
          <w:p>
            <w:pPr>
              <w:pStyle w:val="TableParagraph"/>
              <w:spacing w:before="1"/>
              <w:ind w:left="13"/>
              <w:jc w:val="center"/>
              <w:rPr>
                <w:rFonts w:ascii="宋体"/>
                <w:sz w:val="18"/>
              </w:rPr>
            </w:pPr>
            <w:r>
              <w:rPr>
                <w:rFonts w:ascii="宋体"/>
                <w:sz w:val="18"/>
              </w:rPr>
              <w:t>2</w:t>
            </w:r>
          </w:p>
        </w:tc>
      </w:tr>
      <w:tr>
        <w:trPr>
          <w:trHeight w:val="589"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绩效信息公开</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2</w:t>
            </w:r>
          </w:p>
        </w:tc>
      </w:tr>
      <w:tr>
        <w:trPr>
          <w:trHeight w:val="589" w:hRule="atLeast"/>
        </w:trPr>
        <w:tc>
          <w:tcPr>
            <w:tcW w:w="1413" w:type="dxa"/>
            <w:vMerge/>
            <w:tcBorders>
              <w:top w:val="nil"/>
            </w:tcBorders>
          </w:tcPr>
          <w:p>
            <w:pPr>
              <w:rPr>
                <w:sz w:val="2"/>
                <w:szCs w:val="2"/>
              </w:rPr>
            </w:pPr>
          </w:p>
        </w:tc>
        <w:tc>
          <w:tcPr>
            <w:tcW w:w="322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2"/>
              </w:rPr>
            </w:pPr>
          </w:p>
          <w:p>
            <w:pPr>
              <w:pStyle w:val="TableParagraph"/>
              <w:ind w:left="888"/>
              <w:rPr>
                <w:rFonts w:ascii="宋体" w:eastAsia="宋体" w:hint="eastAsia"/>
                <w:sz w:val="18"/>
              </w:rPr>
            </w:pPr>
            <w:r>
              <w:rPr>
                <w:rFonts w:ascii="宋体" w:eastAsia="宋体" w:hint="eastAsia"/>
                <w:sz w:val="18"/>
              </w:rPr>
              <w:t>绩效评价（10 分）</w:t>
            </w:r>
          </w:p>
        </w:tc>
        <w:tc>
          <w:tcPr>
            <w:tcW w:w="2542" w:type="dxa"/>
          </w:tcPr>
          <w:p>
            <w:pPr>
              <w:pStyle w:val="TableParagraph"/>
              <w:spacing w:before="1"/>
              <w:rPr>
                <w:rFonts w:ascii="Times New Roman"/>
                <w:sz w:val="16"/>
              </w:rPr>
            </w:pPr>
          </w:p>
          <w:p>
            <w:pPr>
              <w:pStyle w:val="TableParagraph"/>
              <w:ind w:left="29" w:right="8"/>
              <w:jc w:val="center"/>
              <w:rPr>
                <w:rFonts w:ascii="宋体" w:eastAsia="宋体" w:hint="eastAsia"/>
                <w:sz w:val="18"/>
              </w:rPr>
            </w:pPr>
            <w:r>
              <w:rPr>
                <w:rFonts w:ascii="宋体" w:eastAsia="宋体" w:hint="eastAsia"/>
                <w:sz w:val="18"/>
              </w:rPr>
              <w:t>绩效评价工作开展</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3</w:t>
            </w:r>
          </w:p>
        </w:tc>
      </w:tr>
      <w:tr>
        <w:trPr>
          <w:trHeight w:val="589"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评价层次</w:t>
            </w:r>
          </w:p>
        </w:tc>
        <w:tc>
          <w:tcPr>
            <w:tcW w:w="743" w:type="dxa"/>
          </w:tcPr>
          <w:p>
            <w:pPr>
              <w:pStyle w:val="TableParagraph"/>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spacing w:before="1"/>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评价结果报告</w:t>
            </w:r>
          </w:p>
        </w:tc>
        <w:tc>
          <w:tcPr>
            <w:tcW w:w="743" w:type="dxa"/>
          </w:tcPr>
          <w:p>
            <w:pPr>
              <w:pStyle w:val="TableParagraph"/>
              <w:spacing w:before="1"/>
              <w:rPr>
                <w:rFonts w:ascii="Times New Roman"/>
                <w:sz w:val="16"/>
              </w:rPr>
            </w:pPr>
          </w:p>
          <w:p>
            <w:pPr>
              <w:pStyle w:val="TableParagraph"/>
              <w:ind w:left="14"/>
              <w:jc w:val="center"/>
              <w:rPr>
                <w:rFonts w:ascii="宋体"/>
                <w:sz w:val="18"/>
              </w:rPr>
            </w:pPr>
            <w:r>
              <w:rPr>
                <w:rFonts w:ascii="宋体"/>
                <w:sz w:val="18"/>
              </w:rPr>
              <w:t>2</w:t>
            </w:r>
          </w:p>
        </w:tc>
        <w:tc>
          <w:tcPr>
            <w:tcW w:w="938" w:type="dxa"/>
          </w:tcPr>
          <w:p>
            <w:pPr>
              <w:pStyle w:val="TableParagraph"/>
              <w:spacing w:before="1"/>
              <w:rPr>
                <w:rFonts w:ascii="Times New Roman"/>
                <w:sz w:val="16"/>
              </w:rPr>
            </w:pPr>
          </w:p>
          <w:p>
            <w:pPr>
              <w:pStyle w:val="TableParagraph"/>
              <w:ind w:left="13"/>
              <w:jc w:val="center"/>
              <w:rPr>
                <w:rFonts w:ascii="宋体"/>
                <w:sz w:val="18"/>
              </w:rPr>
            </w:pPr>
            <w:r>
              <w:rPr>
                <w:rFonts w:ascii="宋体"/>
                <w:sz w:val="18"/>
              </w:rPr>
              <w:t>2</w:t>
            </w:r>
          </w:p>
        </w:tc>
      </w:tr>
      <w:tr>
        <w:trPr>
          <w:trHeight w:val="588" w:hRule="atLeast"/>
        </w:trPr>
        <w:tc>
          <w:tcPr>
            <w:tcW w:w="1413" w:type="dxa"/>
            <w:vMerge/>
            <w:tcBorders>
              <w:top w:val="nil"/>
            </w:tcBorders>
          </w:tcPr>
          <w:p>
            <w:pPr>
              <w:rPr>
                <w:sz w:val="2"/>
                <w:szCs w:val="2"/>
              </w:rPr>
            </w:pPr>
          </w:p>
        </w:tc>
        <w:tc>
          <w:tcPr>
            <w:tcW w:w="3224" w:type="dxa"/>
            <w:vMerge/>
            <w:tcBorders>
              <w:top w:val="nil"/>
            </w:tcBorders>
          </w:tcPr>
          <w:p>
            <w:pPr>
              <w:rPr>
                <w:sz w:val="2"/>
                <w:szCs w:val="2"/>
              </w:rPr>
            </w:pPr>
          </w:p>
        </w:tc>
        <w:tc>
          <w:tcPr>
            <w:tcW w:w="2542" w:type="dxa"/>
          </w:tcPr>
          <w:p>
            <w:pPr>
              <w:pStyle w:val="TableParagraph"/>
              <w:spacing w:before="2"/>
              <w:rPr>
                <w:rFonts w:ascii="Times New Roman"/>
                <w:sz w:val="16"/>
              </w:rPr>
            </w:pPr>
          </w:p>
          <w:p>
            <w:pPr>
              <w:pStyle w:val="TableParagraph"/>
              <w:ind w:left="27" w:right="8"/>
              <w:jc w:val="center"/>
              <w:rPr>
                <w:rFonts w:ascii="宋体" w:eastAsia="宋体" w:hint="eastAsia"/>
                <w:sz w:val="18"/>
              </w:rPr>
            </w:pPr>
            <w:r>
              <w:rPr>
                <w:rFonts w:ascii="宋体" w:eastAsia="宋体" w:hint="eastAsia"/>
                <w:sz w:val="18"/>
              </w:rPr>
              <w:t>整改完成情况</w:t>
            </w:r>
          </w:p>
        </w:tc>
        <w:tc>
          <w:tcPr>
            <w:tcW w:w="743" w:type="dxa"/>
          </w:tcPr>
          <w:p>
            <w:pPr>
              <w:pStyle w:val="TableParagraph"/>
              <w:spacing w:before="2"/>
              <w:rPr>
                <w:rFonts w:ascii="Times New Roman"/>
                <w:sz w:val="16"/>
              </w:rPr>
            </w:pPr>
          </w:p>
          <w:p>
            <w:pPr>
              <w:pStyle w:val="TableParagraph"/>
              <w:ind w:left="14"/>
              <w:jc w:val="center"/>
              <w:rPr>
                <w:rFonts w:ascii="宋体"/>
                <w:sz w:val="18"/>
              </w:rPr>
            </w:pPr>
            <w:r>
              <w:rPr>
                <w:rFonts w:ascii="宋体"/>
                <w:sz w:val="18"/>
              </w:rPr>
              <w:t>3</w:t>
            </w:r>
          </w:p>
        </w:tc>
        <w:tc>
          <w:tcPr>
            <w:tcW w:w="938" w:type="dxa"/>
          </w:tcPr>
          <w:p>
            <w:pPr>
              <w:pStyle w:val="TableParagraph"/>
              <w:spacing w:before="2"/>
              <w:rPr>
                <w:rFonts w:ascii="Times New Roman"/>
                <w:sz w:val="16"/>
              </w:rPr>
            </w:pPr>
          </w:p>
          <w:p>
            <w:pPr>
              <w:pStyle w:val="TableParagraph"/>
              <w:ind w:left="13"/>
              <w:jc w:val="center"/>
              <w:rPr>
                <w:rFonts w:ascii="宋体"/>
                <w:sz w:val="18"/>
              </w:rPr>
            </w:pPr>
            <w:r>
              <w:rPr>
                <w:rFonts w:ascii="宋体"/>
                <w:sz w:val="18"/>
              </w:rPr>
              <w:t>3</w:t>
            </w:r>
          </w:p>
        </w:tc>
      </w:tr>
      <w:tr>
        <w:trPr>
          <w:trHeight w:val="616" w:hRule="atLeast"/>
        </w:trPr>
        <w:tc>
          <w:tcPr>
            <w:tcW w:w="1413" w:type="dxa"/>
            <w:textDirection w:val="tbRl"/>
          </w:tcPr>
          <w:p>
            <w:pPr>
              <w:pStyle w:val="TableParagraph"/>
              <w:spacing w:before="7"/>
              <w:rPr>
                <w:rFonts w:ascii="Times New Roman"/>
                <w:sz w:val="19"/>
              </w:rPr>
            </w:pPr>
          </w:p>
          <w:p>
            <w:pPr>
              <w:pStyle w:val="TableParagraph"/>
              <w:ind w:left="11"/>
              <w:rPr>
                <w:rFonts w:ascii="宋体" w:eastAsia="宋体" w:hint="eastAsia"/>
                <w:sz w:val="18"/>
              </w:rPr>
            </w:pPr>
            <w:r>
              <w:rPr>
                <w:rFonts w:ascii="宋体" w:eastAsia="宋体" w:hint="eastAsia"/>
                <w:sz w:val="18"/>
              </w:rPr>
              <w:t>分）</w:t>
            </w:r>
          </w:p>
          <w:p>
            <w:pPr>
              <w:pStyle w:val="TableParagraph"/>
              <w:rPr>
                <w:rFonts w:ascii="Times New Roman"/>
                <w:sz w:val="18"/>
              </w:rPr>
            </w:pPr>
          </w:p>
          <w:p>
            <w:pPr>
              <w:pStyle w:val="TableParagraph"/>
              <w:spacing w:before="141"/>
              <w:ind w:left="11"/>
              <w:rPr>
                <w:rFonts w:ascii="宋体" w:eastAsia="宋体" w:hint="eastAsia"/>
                <w:sz w:val="18"/>
              </w:rPr>
            </w:pPr>
            <w:r>
              <w:rPr>
                <w:rFonts w:ascii="宋体" w:eastAsia="宋体" w:hint="eastAsia"/>
                <w:sz w:val="18"/>
              </w:rPr>
              <w:t>整体效</w:t>
            </w:r>
          </w:p>
        </w:tc>
        <w:tc>
          <w:tcPr>
            <w:tcW w:w="5766" w:type="dxa"/>
            <w:gridSpan w:val="2"/>
          </w:tcPr>
          <w:p>
            <w:pPr>
              <w:pStyle w:val="TableParagraph"/>
              <w:spacing w:before="3"/>
              <w:rPr>
                <w:rFonts w:ascii="Times New Roman"/>
                <w:sz w:val="17"/>
              </w:rPr>
            </w:pPr>
          </w:p>
          <w:p>
            <w:pPr>
              <w:pStyle w:val="TableParagraph"/>
              <w:ind w:left="1924" w:right="1902"/>
              <w:jc w:val="center"/>
              <w:rPr>
                <w:rFonts w:ascii="宋体" w:eastAsia="宋体" w:hint="eastAsia"/>
                <w:sz w:val="18"/>
              </w:rPr>
            </w:pPr>
            <w:r>
              <w:rPr>
                <w:rFonts w:ascii="宋体" w:eastAsia="宋体" w:hint="eastAsia"/>
                <w:sz w:val="18"/>
              </w:rPr>
              <w:t>部门整体绩效（10 分）</w:t>
            </w:r>
          </w:p>
        </w:tc>
        <w:tc>
          <w:tcPr>
            <w:tcW w:w="743" w:type="dxa"/>
          </w:tcPr>
          <w:p>
            <w:pPr>
              <w:pStyle w:val="TableParagraph"/>
              <w:spacing w:before="3"/>
              <w:rPr>
                <w:rFonts w:ascii="Times New Roman"/>
                <w:sz w:val="17"/>
              </w:rPr>
            </w:pPr>
          </w:p>
          <w:p>
            <w:pPr>
              <w:pStyle w:val="TableParagraph"/>
              <w:ind w:left="170" w:right="159"/>
              <w:jc w:val="center"/>
              <w:rPr>
                <w:rFonts w:ascii="宋体"/>
                <w:sz w:val="18"/>
              </w:rPr>
            </w:pPr>
            <w:r>
              <w:rPr>
                <w:rFonts w:ascii="宋体"/>
                <w:sz w:val="18"/>
              </w:rPr>
              <w:t>10</w:t>
            </w:r>
          </w:p>
        </w:tc>
        <w:tc>
          <w:tcPr>
            <w:tcW w:w="938" w:type="dxa"/>
          </w:tcPr>
          <w:p>
            <w:pPr>
              <w:pStyle w:val="TableParagraph"/>
              <w:spacing w:before="3"/>
              <w:rPr>
                <w:rFonts w:ascii="Times New Roman"/>
                <w:sz w:val="17"/>
              </w:rPr>
            </w:pPr>
          </w:p>
          <w:p>
            <w:pPr>
              <w:pStyle w:val="TableParagraph"/>
              <w:ind w:right="364"/>
              <w:jc w:val="right"/>
              <w:rPr>
                <w:rFonts w:ascii="宋体"/>
                <w:sz w:val="18"/>
              </w:rPr>
            </w:pPr>
            <w:r>
              <w:rPr>
                <w:rFonts w:ascii="宋体"/>
                <w:sz w:val="18"/>
              </w:rPr>
              <w:t>10</w:t>
            </w:r>
          </w:p>
        </w:tc>
      </w:tr>
      <w:tr>
        <w:trPr>
          <w:trHeight w:val="588" w:hRule="atLeast"/>
        </w:trPr>
        <w:tc>
          <w:tcPr>
            <w:tcW w:w="7179" w:type="dxa"/>
            <w:gridSpan w:val="3"/>
          </w:tcPr>
          <w:p>
            <w:pPr>
              <w:pStyle w:val="TableParagraph"/>
              <w:spacing w:before="1"/>
              <w:rPr>
                <w:rFonts w:ascii="Times New Roman"/>
                <w:sz w:val="16"/>
              </w:rPr>
            </w:pPr>
          </w:p>
          <w:p>
            <w:pPr>
              <w:pStyle w:val="TableParagraph"/>
              <w:ind w:left="3390" w:right="3376"/>
              <w:jc w:val="center"/>
              <w:rPr>
                <w:rFonts w:ascii="宋体" w:eastAsia="宋体" w:hint="eastAsia"/>
                <w:b/>
                <w:sz w:val="18"/>
              </w:rPr>
            </w:pPr>
            <w:r>
              <w:rPr>
                <w:rFonts w:ascii="宋体" w:eastAsia="宋体" w:hint="eastAsia"/>
                <w:b/>
                <w:sz w:val="18"/>
              </w:rPr>
              <w:t>总分</w:t>
            </w:r>
          </w:p>
        </w:tc>
        <w:tc>
          <w:tcPr>
            <w:tcW w:w="743" w:type="dxa"/>
          </w:tcPr>
          <w:p>
            <w:pPr>
              <w:pStyle w:val="TableParagraph"/>
              <w:spacing w:before="1"/>
              <w:rPr>
                <w:rFonts w:ascii="Times New Roman"/>
                <w:sz w:val="16"/>
              </w:rPr>
            </w:pPr>
          </w:p>
          <w:p>
            <w:pPr>
              <w:pStyle w:val="TableParagraph"/>
              <w:ind w:left="171" w:right="155"/>
              <w:jc w:val="center"/>
              <w:rPr>
                <w:rFonts w:ascii="宋体"/>
                <w:b/>
                <w:sz w:val="18"/>
              </w:rPr>
            </w:pPr>
            <w:r>
              <w:rPr>
                <w:rFonts w:ascii="宋体"/>
                <w:b/>
                <w:sz w:val="18"/>
              </w:rPr>
              <w:t>100</w:t>
            </w:r>
          </w:p>
        </w:tc>
        <w:tc>
          <w:tcPr>
            <w:tcW w:w="938" w:type="dxa"/>
          </w:tcPr>
          <w:p>
            <w:pPr>
              <w:pStyle w:val="TableParagraph"/>
              <w:spacing w:before="1"/>
              <w:rPr>
                <w:rFonts w:ascii="Times New Roman"/>
                <w:sz w:val="16"/>
              </w:rPr>
            </w:pPr>
          </w:p>
          <w:p>
            <w:pPr>
              <w:pStyle w:val="TableParagraph"/>
              <w:ind w:right="319"/>
              <w:jc w:val="right"/>
              <w:rPr>
                <w:rFonts w:ascii="宋体"/>
                <w:b/>
                <w:sz w:val="18"/>
              </w:rPr>
            </w:pPr>
            <w:r>
              <w:rPr>
                <w:rFonts w:ascii="宋体"/>
                <w:b/>
                <w:w w:val="95"/>
                <w:sz w:val="18"/>
              </w:rPr>
              <w:t>100</w:t>
            </w:r>
          </w:p>
        </w:tc>
      </w:tr>
      <w:tr>
        <w:trPr>
          <w:trHeight w:val="2326" w:hRule="atLeast"/>
        </w:trPr>
        <w:tc>
          <w:tcPr>
            <w:tcW w:w="8860" w:type="dxa"/>
            <w:gridSpan w:val="5"/>
          </w:tcPr>
          <w:p>
            <w:pPr>
              <w:pStyle w:val="TableParagraph"/>
              <w:spacing w:before="2"/>
              <w:rPr>
                <w:rFonts w:ascii="Times New Roman"/>
                <w:sz w:val="16"/>
              </w:rPr>
            </w:pPr>
          </w:p>
          <w:p>
            <w:pPr>
              <w:pStyle w:val="TableParagraph"/>
              <w:spacing w:line="602" w:lineRule="auto"/>
              <w:ind w:left="9" w:right="42"/>
              <w:rPr>
                <w:rFonts w:ascii="宋体" w:eastAsia="宋体" w:hint="eastAsia"/>
                <w:sz w:val="18"/>
              </w:rPr>
            </w:pPr>
            <w:r>
              <w:rPr>
                <w:rFonts w:ascii="宋体" w:eastAsia="宋体" w:hint="eastAsia"/>
                <w:spacing w:val="-5"/>
                <w:sz w:val="18"/>
              </w:rPr>
              <w:t>注：</w:t>
            </w:r>
            <w:r>
              <w:rPr>
                <w:rFonts w:ascii="宋体" w:eastAsia="宋体" w:hint="eastAsia"/>
                <w:spacing w:val="-4"/>
                <w:sz w:val="18"/>
              </w:rPr>
              <w:t>1</w:t>
            </w:r>
            <w:r>
              <w:rPr>
                <w:rFonts w:ascii="宋体" w:eastAsia="宋体" w:hint="eastAsia"/>
                <w:spacing w:val="-5"/>
                <w:sz w:val="18"/>
              </w:rPr>
              <w:t>.若某部门不存在某项评价内容或评价指标，则该评价内容或评价指标不计入该部门考核评价范围，即该部门评价总分=不含该评价内容或指标的实际评价总分</w:t>
            </w:r>
            <w:r>
              <w:rPr>
                <w:rFonts w:ascii="宋体" w:eastAsia="宋体" w:hint="eastAsia"/>
                <w:spacing w:val="-4"/>
                <w:sz w:val="18"/>
              </w:rPr>
              <w:t>/（100</w:t>
            </w:r>
            <w:r>
              <w:rPr>
                <w:rFonts w:ascii="宋体" w:eastAsia="宋体" w:hint="eastAsia"/>
                <w:spacing w:val="-5"/>
                <w:sz w:val="18"/>
              </w:rPr>
              <w:t>－该评价内容或指标所占分值</w:t>
            </w:r>
            <w:r>
              <w:rPr>
                <w:rFonts w:ascii="宋体" w:eastAsia="宋体" w:hint="eastAsia"/>
                <w:sz w:val="18"/>
              </w:rPr>
              <w:t>）*100</w:t>
            </w:r>
          </w:p>
          <w:p>
            <w:pPr>
              <w:pStyle w:val="TableParagraph"/>
              <w:spacing w:line="230" w:lineRule="exact"/>
              <w:ind w:left="360"/>
              <w:rPr>
                <w:rFonts w:ascii="宋体" w:eastAsia="宋体" w:hint="eastAsia"/>
                <w:sz w:val="18"/>
              </w:rPr>
            </w:pPr>
            <w:r>
              <w:rPr>
                <w:rFonts w:ascii="宋体" w:eastAsia="宋体" w:hint="eastAsia"/>
                <w:spacing w:val="-3"/>
                <w:sz w:val="18"/>
              </w:rPr>
              <w:t>2</w:t>
            </w:r>
            <w:r>
              <w:rPr>
                <w:rFonts w:ascii="宋体" w:eastAsia="宋体" w:hint="eastAsia"/>
                <w:spacing w:val="-5"/>
                <w:sz w:val="18"/>
              </w:rPr>
              <w:t>.一二级指标及分值原则上不得变动。三级指标可以根据项目实际增设，分值在二级指标确定的分值内分配，</w:t>
            </w:r>
          </w:p>
          <w:p>
            <w:pPr>
              <w:pStyle w:val="TableParagraph"/>
              <w:rPr>
                <w:rFonts w:ascii="Times New Roman"/>
                <w:sz w:val="18"/>
              </w:rPr>
            </w:pPr>
          </w:p>
          <w:p>
            <w:pPr>
              <w:pStyle w:val="TableParagraph"/>
              <w:spacing w:before="141"/>
              <w:ind w:left="9"/>
              <w:rPr>
                <w:rFonts w:ascii="宋体" w:hAnsi="宋体" w:eastAsia="宋体" w:hint="eastAsia"/>
                <w:sz w:val="18"/>
              </w:rPr>
            </w:pPr>
            <w:r>
              <w:rPr>
                <w:rFonts w:ascii="宋体" w:hAnsi="宋体" w:eastAsia="宋体" w:hint="eastAsia"/>
                <w:sz w:val="18"/>
              </w:rPr>
              <w:t>增设指标应向绩效处说明理由；三级指标除在“评价方法”上规定可以调整减少的，原则不得减少三级指标。</w:t>
            </w:r>
          </w:p>
        </w:tc>
      </w:tr>
    </w:tbl>
    <w:p>
      <w:pPr>
        <w:pStyle w:val="BodyText"/>
        <w:spacing w:line="583" w:lineRule="exact"/>
        <w:ind w:left="445"/>
        <w:rPr>
          <w:rFonts w:ascii="微软雅黑" w:eastAsia="微软雅黑" w:hint="eastAsia"/>
        </w:rPr>
      </w:pPr>
      <w:r>
        <w:rPr>
          <w:rFonts w:ascii="微软雅黑" w:eastAsia="微软雅黑" w:hint="eastAsia"/>
        </w:rPr>
        <w:t>（二）存在问题</w:t>
      </w:r>
    </w:p>
    <w:p>
      <w:pPr>
        <w:pStyle w:val="BodyText"/>
        <w:spacing w:before="81"/>
        <w:ind w:left="760"/>
        <w:rPr>
          <w:rFonts w:ascii="仿宋" w:eastAsia="仿宋" w:hint="eastAsia"/>
        </w:rPr>
      </w:pPr>
      <w:r>
        <w:rPr>
          <w:rFonts w:ascii="仿宋" w:eastAsia="仿宋" w:hint="eastAsia"/>
        </w:rPr>
        <w:t>无。</w:t>
      </w:r>
    </w:p>
    <w:p>
      <w:pPr>
        <w:pStyle w:val="BodyText"/>
        <w:spacing w:before="78"/>
        <w:ind w:left="445"/>
        <w:rPr>
          <w:rFonts w:ascii="微软雅黑" w:eastAsia="微软雅黑" w:hint="eastAsia"/>
        </w:rPr>
      </w:pPr>
      <w:r>
        <w:rPr>
          <w:rFonts w:ascii="微软雅黑" w:eastAsia="微软雅黑" w:hint="eastAsia"/>
        </w:rPr>
        <w:t>（三）改进措施</w:t>
      </w:r>
    </w:p>
    <w:p>
      <w:pPr>
        <w:pStyle w:val="BodyText"/>
        <w:spacing w:before="108"/>
        <w:ind w:left="760"/>
        <w:rPr>
          <w:rFonts w:ascii="仿宋" w:eastAsia="仿宋" w:hint="eastAsia"/>
        </w:rPr>
      </w:pPr>
      <w:r>
        <w:rPr>
          <w:rFonts w:ascii="仿宋" w:eastAsia="仿宋" w:hint="eastAsia"/>
        </w:rPr>
        <w:t>无。</w:t>
      </w:r>
    </w:p>
    <w:p>
      <w:pPr>
        <w:spacing w:after="0"/>
        <w:rPr>
          <w:rFonts w:ascii="仿宋" w:eastAsia="仿宋" w:hint="eastAsia"/>
        </w:rPr>
        <w:sectPr>
          <w:pgSz w:w="11910" w:h="16840"/>
          <w:pgMar w:header="0" w:footer="1384" w:top="1580" w:bottom="1580" w:left="1400" w:right="0"/>
        </w:sectPr>
      </w:pPr>
    </w:p>
    <w:p>
      <w:pPr>
        <w:pStyle w:val="BodyText"/>
        <w:rPr>
          <w:rFonts w:ascii="仿宋"/>
          <w:sz w:val="20"/>
        </w:rPr>
      </w:pPr>
    </w:p>
    <w:p>
      <w:pPr>
        <w:pStyle w:val="BodyText"/>
        <w:rPr>
          <w:rFonts w:ascii="仿宋"/>
          <w:sz w:val="20"/>
        </w:rPr>
      </w:pPr>
    </w:p>
    <w:p>
      <w:pPr>
        <w:pStyle w:val="BodyText"/>
        <w:rPr>
          <w:rFonts w:ascii="仿宋"/>
          <w:sz w:val="20"/>
        </w:rPr>
      </w:pPr>
    </w:p>
    <w:p>
      <w:pPr>
        <w:pStyle w:val="BodyText"/>
        <w:spacing w:before="12"/>
        <w:rPr>
          <w:rFonts w:ascii="仿宋"/>
          <w:sz w:val="24"/>
        </w:rPr>
      </w:pPr>
    </w:p>
    <w:p>
      <w:pPr>
        <w:pStyle w:val="BodyText"/>
        <w:tabs>
          <w:tab w:pos="5425" w:val="left" w:leader="none"/>
        </w:tabs>
        <w:spacing w:before="26"/>
        <w:ind w:left="3373"/>
        <w:rPr>
          <w:rFonts w:ascii="方正黑体_GBK" w:eastAsia="方正黑体_GBK" w:hint="eastAsia"/>
        </w:rPr>
      </w:pPr>
      <w:bookmarkStart w:name="第五部分 附  表" w:id="52"/>
      <w:bookmarkEnd w:id="52"/>
      <w:r>
        <w:rPr/>
      </w:r>
      <w:bookmarkStart w:name="_bookmark17" w:id="53"/>
      <w:bookmarkEnd w:id="53"/>
      <w:r>
        <w:rPr/>
      </w:r>
      <w:r>
        <w:rPr>
          <w:rFonts w:ascii="方正黑体_GBK" w:eastAsia="方正黑体_GBK" w:hint="eastAsia"/>
          <w:spacing w:val="-5"/>
        </w:rPr>
        <w:t>第</w:t>
      </w:r>
      <w:r>
        <w:rPr>
          <w:rFonts w:ascii="方正黑体_GBK" w:eastAsia="方正黑体_GBK" w:hint="eastAsia"/>
          <w:spacing w:val="-3"/>
        </w:rPr>
        <w:t>五</w:t>
      </w:r>
      <w:r>
        <w:rPr>
          <w:rFonts w:ascii="方正黑体_GBK" w:eastAsia="方正黑体_GBK" w:hint="eastAsia"/>
          <w:spacing w:val="-5"/>
        </w:rPr>
        <w:t>部</w:t>
      </w:r>
      <w:r>
        <w:rPr>
          <w:rFonts w:ascii="方正黑体_GBK" w:eastAsia="方正黑体_GBK" w:hint="eastAsia"/>
        </w:rPr>
        <w:t>分</w:t>
      </w:r>
      <w:r>
        <w:rPr>
          <w:rFonts w:ascii="方正黑体_GBK" w:eastAsia="方正黑体_GBK" w:hint="eastAsia"/>
          <w:spacing w:val="64"/>
        </w:rPr>
        <w:t> </w:t>
      </w:r>
      <w:r>
        <w:rPr>
          <w:rFonts w:ascii="方正黑体_GBK" w:eastAsia="方正黑体_GBK" w:hint="eastAsia"/>
        </w:rPr>
        <w:t>附</w:t>
        <w:tab/>
        <w:t>表</w:t>
      </w:r>
    </w:p>
    <w:p>
      <w:pPr>
        <w:pStyle w:val="BodyText"/>
        <w:spacing w:before="3"/>
        <w:rPr>
          <w:rFonts w:ascii="方正黑体_GBK"/>
          <w:sz w:val="41"/>
        </w:rPr>
      </w:pPr>
    </w:p>
    <w:p>
      <w:pPr>
        <w:pStyle w:val="BodyText"/>
        <w:spacing w:line="268" w:lineRule="auto"/>
        <w:ind w:left="131" w:right="7212"/>
      </w:pPr>
      <w:bookmarkStart w:name="一、收入支出决算总表" w:id="54"/>
      <w:bookmarkEnd w:id="54"/>
      <w:r>
        <w:rPr/>
      </w:r>
      <w:r>
        <w:rPr>
          <w:spacing w:val="-6"/>
        </w:rPr>
        <w:t>一、收入支出决算总表</w:t>
      </w:r>
      <w:bookmarkStart w:name="二、收入决算表" w:id="55"/>
      <w:bookmarkEnd w:id="55"/>
      <w:r>
        <w:rPr>
          <w:spacing w:val="-6"/>
        </w:rPr>
      </w:r>
      <w:r>
        <w:rPr>
          <w:spacing w:val="-5"/>
        </w:rPr>
        <w:t>二、收入决算表</w:t>
      </w:r>
    </w:p>
    <w:p>
      <w:pPr>
        <w:pStyle w:val="BodyText"/>
        <w:spacing w:before="3"/>
        <w:ind w:left="131"/>
      </w:pPr>
      <w:bookmarkStart w:name="三、支出决算表" w:id="56"/>
      <w:bookmarkEnd w:id="56"/>
      <w:r>
        <w:rPr/>
      </w:r>
      <w:r>
        <w:rPr>
          <w:spacing w:val="-5"/>
          <w:w w:val="95"/>
        </w:rPr>
        <w:t>三、支出决算表</w:t>
      </w:r>
    </w:p>
    <w:p>
      <w:pPr>
        <w:pStyle w:val="BodyText"/>
        <w:spacing w:line="268" w:lineRule="auto" w:before="66"/>
        <w:ind w:left="131" w:right="5947"/>
      </w:pPr>
      <w:bookmarkStart w:name="四、财政拨款收入支出决算总表" w:id="57"/>
      <w:bookmarkEnd w:id="57"/>
      <w:r>
        <w:rPr/>
      </w:r>
      <w:r>
        <w:rPr>
          <w:w w:val="95"/>
        </w:rPr>
        <w:t>四、财政拨款收入支出决算总表</w:t>
      </w:r>
      <w:bookmarkStart w:name="五、财政拨款支出决算明细表" w:id="58"/>
      <w:bookmarkEnd w:id="58"/>
      <w:r>
        <w:rPr>
          <w:w w:val="95"/>
        </w:rPr>
      </w:r>
      <w:r>
        <w:rPr/>
        <w:t>五、财政拨款支出决算明细表</w:t>
      </w:r>
    </w:p>
    <w:p>
      <w:pPr>
        <w:pStyle w:val="BodyText"/>
        <w:spacing w:before="3"/>
        <w:ind w:left="131"/>
      </w:pPr>
      <w:bookmarkStart w:name="六、一般公共预算财政拨款支出决算表" w:id="59"/>
      <w:bookmarkEnd w:id="59"/>
      <w:r>
        <w:rPr/>
      </w:r>
      <w:r>
        <w:rPr/>
        <w:t>六、一般公共预算财政拨款支出决算表</w:t>
      </w:r>
    </w:p>
    <w:p>
      <w:pPr>
        <w:pStyle w:val="BodyText"/>
        <w:spacing w:line="271" w:lineRule="auto" w:before="63"/>
        <w:ind w:left="131" w:right="4368"/>
        <w:jc w:val="both"/>
      </w:pPr>
      <w:bookmarkStart w:name="七、一般公共预算财政拨款支出决算明细表" w:id="60"/>
      <w:bookmarkEnd w:id="60"/>
      <w:r>
        <w:rPr/>
      </w:r>
      <w:r>
        <w:rPr>
          <w:spacing w:val="-5"/>
          <w:w w:val="95"/>
        </w:rPr>
        <w:t>七、一般公共预算财政拨款支出决算明细表 </w:t>
      </w:r>
      <w:bookmarkStart w:name="八、一般公共预算财政拨款基本支出决算表" w:id="61"/>
      <w:bookmarkEnd w:id="61"/>
      <w:r>
        <w:rPr>
          <w:spacing w:val="-5"/>
          <w:w w:val="95"/>
        </w:rPr>
      </w:r>
      <w:r>
        <w:rPr>
          <w:spacing w:val="-5"/>
          <w:w w:val="95"/>
        </w:rPr>
        <w:t>八、一般公共预算财政拨款基本支出决算表 </w:t>
      </w:r>
      <w:bookmarkStart w:name="九、一般公共预算财政拨款项目支出决算表" w:id="62"/>
      <w:bookmarkEnd w:id="62"/>
      <w:r>
        <w:rPr>
          <w:spacing w:val="-5"/>
          <w:w w:val="95"/>
        </w:rPr>
      </w:r>
      <w:r>
        <w:rPr>
          <w:spacing w:val="-5"/>
          <w:w w:val="95"/>
        </w:rPr>
        <w:t>九、一般公共预算财政拨款项目支出决算表</w:t>
      </w:r>
    </w:p>
    <w:p>
      <w:pPr>
        <w:pStyle w:val="BodyText"/>
        <w:spacing w:line="268" w:lineRule="auto"/>
        <w:ind w:left="131" w:right="3105"/>
      </w:pPr>
      <w:bookmarkStart w:name="十、一般公共预算财政拨款“三公”经费支出决算表" w:id="63"/>
      <w:bookmarkEnd w:id="63"/>
      <w:r>
        <w:rPr/>
      </w:r>
      <w:r>
        <w:rPr>
          <w:spacing w:val="-5"/>
          <w:w w:val="95"/>
        </w:rPr>
        <w:t>十、一般公共预算财政拨款“三公”经费支出决算表 </w:t>
      </w:r>
      <w:bookmarkStart w:name="十一、政府性基金预算财政拨款收入支出决算表" w:id="64"/>
      <w:bookmarkEnd w:id="64"/>
      <w:r>
        <w:rPr>
          <w:spacing w:val="-5"/>
          <w:w w:val="95"/>
        </w:rPr>
      </w:r>
      <w:r>
        <w:rPr>
          <w:spacing w:val="-5"/>
        </w:rPr>
        <w:t>十一、政府性基金预算财政拨款收入支出决算表</w:t>
      </w:r>
    </w:p>
    <w:p>
      <w:pPr>
        <w:pStyle w:val="BodyText"/>
        <w:spacing w:line="268" w:lineRule="auto"/>
        <w:ind w:left="131" w:right="2472"/>
      </w:pPr>
      <w:bookmarkStart w:name="十二、政府性基金预算财政拨款“三公”经费支出决算表" w:id="65"/>
      <w:bookmarkEnd w:id="65"/>
      <w:r>
        <w:rPr/>
      </w:r>
      <w:r>
        <w:rPr>
          <w:spacing w:val="-5"/>
          <w:w w:val="95"/>
        </w:rPr>
        <w:t>十二、政府性基金预算财政拨款“三公”经费支出决算表 </w:t>
      </w:r>
      <w:bookmarkStart w:name="十三、国有资本经营预算支出决算表" w:id="66"/>
      <w:bookmarkEnd w:id="66"/>
      <w:r>
        <w:rPr>
          <w:spacing w:val="-5"/>
          <w:w w:val="95"/>
        </w:rPr>
      </w:r>
      <w:r>
        <w:rPr>
          <w:spacing w:val="-5"/>
        </w:rPr>
        <w:t>十三、国有资本经营预算支出决算表</w:t>
      </w:r>
    </w:p>
    <w:sectPr>
      <w:pgSz w:w="11910" w:h="16840"/>
      <w:pgMar w:header="0" w:footer="1304" w:top="1580" w:bottom="1500" w:left="14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_GBK">
    <w:altName w:val="方正小标宋_GBK"/>
    <w:charset w:val="86"/>
    <w:family w:val="script"/>
    <w:pitch w:val="fixed"/>
  </w:font>
  <w:font w:name="宋体">
    <w:altName w:val="宋体"/>
    <w:charset w:val="86"/>
    <w:family w:val="auto"/>
    <w:pitch w:val="variable"/>
  </w:font>
  <w:font w:name="方正仿宋_GBK">
    <w:altName w:val="方正仿宋_GBK"/>
    <w:charset w:val="86"/>
    <w:family w:val="script"/>
    <w:pitch w:val="fixed"/>
  </w:font>
  <w:font w:name="仿宋">
    <w:altName w:val="仿宋"/>
    <w:charset w:val="86"/>
    <w:family w:val="modern"/>
    <w:pitch w:val="fixed"/>
  </w:font>
  <w:font w:name="方正黑体_GBK">
    <w:altName w:val="方正黑体_GBK"/>
    <w:charset w:val="86"/>
    <w:family w:val="script"/>
    <w:pitch w:val="fixed"/>
  </w:font>
  <w:font w:name="微软雅黑">
    <w:altName w:val="微软雅黑"/>
    <w:charset w:val="86"/>
    <w:family w:val="swiss"/>
    <w:pitch w:val="variable"/>
  </w:font>
  <w:font w:name="方正舒体">
    <w:altName w:val="方正舒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8.799988pt;margin-top:761.694824pt;width:51pt;height:16.05pt;mso-position-horizontal-relative:page;mso-position-vertical-relative:page;z-index:-253708288"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w:t>
                </w:r>
                <w:r>
                  <w:rPr/>
                  <w:fldChar w:fldCharType="end"/>
                </w:r>
                <w:r>
                  <w:rPr>
                    <w:rFonts w:ascii="宋体" w:hAnsi="宋体"/>
                    <w:sz w:val="2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720001pt;margin-top:761.694824pt;width:58.05pt;height:16.05pt;mso-position-horizontal-relative:page;mso-position-vertical-relative:page;z-index:-253699072"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21</w:t>
                </w:r>
                <w:r>
                  <w:rPr/>
                  <w:fldChar w:fldCharType="end"/>
                </w:r>
                <w:r>
                  <w:rPr>
                    <w:rFonts w:ascii="宋体" w:hAns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61.694824pt;width:51.1pt;height:16.05pt;mso-position-horizontal-relative:page;mso-position-vertical-relative:page;z-index:-25370726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w:t>
                </w:r>
                <w:r>
                  <w:rPr/>
                  <w:fldChar w:fldCharType="end"/>
                </w:r>
                <w:r>
                  <w:rPr>
                    <w:rFonts w:ascii="宋体" w:hAns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519989pt;margin-top:763.494751pt;width:51pt;height:16.2pt;mso-position-horizontal-relative:page;mso-position-vertical-relative:page;z-index:-253706240"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5</w:t>
                </w:r>
                <w:r>
                  <w:rPr/>
                  <w:fldChar w:fldCharType="end"/>
                </w:r>
                <w:r>
                  <w:rPr>
                    <w:rFonts w:ascii="宋体" w:hAnsi="宋体"/>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763.494751pt;width:51.1pt;height:16.2pt;mso-position-horizontal-relative:page;mso-position-vertical-relative:page;z-index:-253705216"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6</w:t>
                </w:r>
                <w:r>
                  <w:rPr/>
                  <w:fldChar w:fldCharType="end"/>
                </w:r>
                <w:r>
                  <w:rPr>
                    <w:rFonts w:ascii="宋体" w:hAnsi="宋体"/>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763.494751pt;width:58.05pt;height:16.2pt;mso-position-horizontal-relative:page;mso-position-vertical-relative:page;z-index:-253704192"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w:t>
                </w:r>
                <w:r>
                  <w:rPr/>
                  <w:fldChar w:fldCharType="end"/>
                </w:r>
                <w:r>
                  <w:rPr>
                    <w:rFonts w:ascii="宋体" w:hAns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440002pt;margin-top:763.494751pt;width:58.05pt;height:16.2pt;mso-position-horizontal-relative:page;mso-position-vertical-relative:page;z-index:-253703168" type="#_x0000_t202" filled="false" stroked="false">
          <v:textbox inset="0,0,0,0">
            <w:txbxContent>
              <w:p>
                <w:pPr>
                  <w:spacing w:line="323"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w:t>
                </w:r>
                <w:r>
                  <w:rPr/>
                  <w:fldChar w:fldCharType="end"/>
                </w:r>
                <w:r>
                  <w:rPr>
                    <w:rFonts w:ascii="宋体" w:hAnsi="宋体"/>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720001pt;margin-top:761.694824pt;width:58.05pt;height:16.05pt;mso-position-horizontal-relative:page;mso-position-vertical-relative:page;z-index:-25370214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17</w:t>
                </w:r>
                <w:r>
                  <w:rPr/>
                  <w:fldChar w:fldCharType="end"/>
                </w:r>
                <w:r>
                  <w:rPr>
                    <w:rFonts w:ascii="宋体" w:hAnsi="宋体"/>
                    <w:sz w:val="2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61.694824pt;width:58.05pt;height:16.05pt;mso-position-horizontal-relative:page;mso-position-vertical-relative:page;z-index:-25370112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18</w:t>
                </w:r>
                <w:r>
                  <w:rPr/>
                  <w:fldChar w:fldCharType="end"/>
                </w:r>
                <w:r>
                  <w:rPr>
                    <w:rFonts w:ascii="宋体" w:hAnsi="宋体"/>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61.694824pt;width:58.05pt;height:16.05pt;mso-position-horizontal-relative:page;mso-position-vertical-relative:page;z-index:-25370009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20</w:t>
                </w:r>
                <w:r>
                  <w:rPr/>
                  <w:fldChar w:fldCharType="end"/>
                </w:r>
                <w:r>
                  <w:rPr>
                    <w:rFonts w:ascii="宋体" w:hAnsi="宋体"/>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80" w:hanging="240"/>
        <w:jc w:val="left"/>
      </w:pPr>
      <w:rPr>
        <w:rFonts w:hint="default" w:ascii="Times New Roman" w:hAnsi="Times New Roman" w:eastAsia="Times New Roman" w:cs="Times New Roman"/>
        <w:b/>
        <w:bCs/>
        <w:spacing w:val="-2"/>
        <w:w w:val="99"/>
        <w:sz w:val="30"/>
        <w:szCs w:val="30"/>
        <w:lang w:val="zh-CN" w:eastAsia="zh-CN" w:bidi="zh-CN"/>
      </w:rPr>
    </w:lvl>
    <w:lvl w:ilvl="1">
      <w:start w:val="0"/>
      <w:numFmt w:val="bullet"/>
      <w:lvlText w:val="•"/>
      <w:lvlJc w:val="left"/>
      <w:pPr>
        <w:ind w:left="2453" w:hanging="240"/>
      </w:pPr>
      <w:rPr>
        <w:rFonts w:hint="default"/>
        <w:lang w:val="zh-CN" w:eastAsia="zh-CN" w:bidi="zh-CN"/>
      </w:rPr>
    </w:lvl>
    <w:lvl w:ilvl="2">
      <w:start w:val="0"/>
      <w:numFmt w:val="bullet"/>
      <w:lvlText w:val="•"/>
      <w:lvlJc w:val="left"/>
      <w:pPr>
        <w:ind w:left="3426" w:hanging="240"/>
      </w:pPr>
      <w:rPr>
        <w:rFonts w:hint="default"/>
        <w:lang w:val="zh-CN" w:eastAsia="zh-CN" w:bidi="zh-CN"/>
      </w:rPr>
    </w:lvl>
    <w:lvl w:ilvl="3">
      <w:start w:val="0"/>
      <w:numFmt w:val="bullet"/>
      <w:lvlText w:val="•"/>
      <w:lvlJc w:val="left"/>
      <w:pPr>
        <w:ind w:left="4399" w:hanging="240"/>
      </w:pPr>
      <w:rPr>
        <w:rFonts w:hint="default"/>
        <w:lang w:val="zh-CN" w:eastAsia="zh-CN" w:bidi="zh-CN"/>
      </w:rPr>
    </w:lvl>
    <w:lvl w:ilvl="4">
      <w:start w:val="0"/>
      <w:numFmt w:val="bullet"/>
      <w:lvlText w:val="•"/>
      <w:lvlJc w:val="left"/>
      <w:pPr>
        <w:ind w:left="5372" w:hanging="240"/>
      </w:pPr>
      <w:rPr>
        <w:rFonts w:hint="default"/>
        <w:lang w:val="zh-CN" w:eastAsia="zh-CN" w:bidi="zh-CN"/>
      </w:rPr>
    </w:lvl>
    <w:lvl w:ilvl="5">
      <w:start w:val="0"/>
      <w:numFmt w:val="bullet"/>
      <w:lvlText w:val="•"/>
      <w:lvlJc w:val="left"/>
      <w:pPr>
        <w:ind w:left="6345" w:hanging="240"/>
      </w:pPr>
      <w:rPr>
        <w:rFonts w:hint="default"/>
        <w:lang w:val="zh-CN" w:eastAsia="zh-CN" w:bidi="zh-CN"/>
      </w:rPr>
    </w:lvl>
    <w:lvl w:ilvl="6">
      <w:start w:val="0"/>
      <w:numFmt w:val="bullet"/>
      <w:lvlText w:val="•"/>
      <w:lvlJc w:val="left"/>
      <w:pPr>
        <w:ind w:left="7318" w:hanging="240"/>
      </w:pPr>
      <w:rPr>
        <w:rFonts w:hint="default"/>
        <w:lang w:val="zh-CN" w:eastAsia="zh-CN" w:bidi="zh-CN"/>
      </w:rPr>
    </w:lvl>
    <w:lvl w:ilvl="7">
      <w:start w:val="0"/>
      <w:numFmt w:val="bullet"/>
      <w:lvlText w:val="•"/>
      <w:lvlJc w:val="left"/>
      <w:pPr>
        <w:ind w:left="8291" w:hanging="240"/>
      </w:pPr>
      <w:rPr>
        <w:rFonts w:hint="default"/>
        <w:lang w:val="zh-CN" w:eastAsia="zh-CN" w:bidi="zh-CN"/>
      </w:rPr>
    </w:lvl>
    <w:lvl w:ilvl="8">
      <w:start w:val="0"/>
      <w:numFmt w:val="bullet"/>
      <w:lvlText w:val="•"/>
      <w:lvlJc w:val="left"/>
      <w:pPr>
        <w:ind w:left="9264" w:hanging="240"/>
      </w:pPr>
      <w:rPr>
        <w:rFonts w:hint="default"/>
        <w:lang w:val="zh-CN" w:eastAsia="zh-CN" w:bidi="zh-CN"/>
      </w:rPr>
    </w:lvl>
  </w:abstractNum>
  <w:abstractNum w:abstractNumId="3">
    <w:multiLevelType w:val="hybridMultilevel"/>
    <w:lvl w:ilvl="0">
      <w:start w:val="490"/>
      <w:numFmt w:val="decimal"/>
      <w:lvlText w:val="%1"/>
      <w:lvlJc w:val="left"/>
      <w:pPr>
        <w:ind w:left="600" w:hanging="960"/>
        <w:jc w:val="left"/>
      </w:pPr>
      <w:rPr>
        <w:rFonts w:hint="default"/>
        <w:lang w:val="zh-CN" w:eastAsia="zh-CN" w:bidi="zh-CN"/>
      </w:rPr>
    </w:lvl>
    <w:lvl w:ilvl="1">
      <w:start w:val="8"/>
      <w:numFmt w:val="decimalZero"/>
      <w:lvlText w:val="%1.%2"/>
      <w:lvlJc w:val="left"/>
      <w:pPr>
        <w:ind w:left="600" w:hanging="960"/>
        <w:jc w:val="left"/>
      </w:pPr>
      <w:rPr>
        <w:rFonts w:hint="default" w:ascii="Times New Roman" w:hAnsi="Times New Roman" w:eastAsia="Times New Roman" w:cs="Times New Roman"/>
        <w:spacing w:val="-2"/>
        <w:w w:val="99"/>
        <w:sz w:val="32"/>
        <w:szCs w:val="32"/>
        <w:lang w:val="zh-CN" w:eastAsia="zh-CN" w:bidi="zh-CN"/>
      </w:rPr>
    </w:lvl>
    <w:lvl w:ilvl="2">
      <w:start w:val="1"/>
      <w:numFmt w:val="decimal"/>
      <w:lvlText w:val="%3."/>
      <w:lvlJc w:val="left"/>
      <w:pPr>
        <w:ind w:left="1482" w:hanging="242"/>
        <w:jc w:val="left"/>
      </w:pPr>
      <w:rPr>
        <w:rFonts w:hint="default" w:ascii="Times New Roman" w:hAnsi="Times New Roman" w:eastAsia="Times New Roman" w:cs="Times New Roman"/>
        <w:spacing w:val="-1"/>
        <w:w w:val="99"/>
        <w:sz w:val="30"/>
        <w:szCs w:val="30"/>
        <w:lang w:val="zh-CN" w:eastAsia="zh-CN" w:bidi="zh-CN"/>
      </w:rPr>
    </w:lvl>
    <w:lvl w:ilvl="3">
      <w:start w:val="0"/>
      <w:numFmt w:val="bullet"/>
      <w:lvlText w:val="•"/>
      <w:lvlJc w:val="left"/>
      <w:pPr>
        <w:ind w:left="3642" w:hanging="242"/>
      </w:pPr>
      <w:rPr>
        <w:rFonts w:hint="default"/>
        <w:lang w:val="zh-CN" w:eastAsia="zh-CN" w:bidi="zh-CN"/>
      </w:rPr>
    </w:lvl>
    <w:lvl w:ilvl="4">
      <w:start w:val="0"/>
      <w:numFmt w:val="bullet"/>
      <w:lvlText w:val="•"/>
      <w:lvlJc w:val="left"/>
      <w:pPr>
        <w:ind w:left="4723" w:hanging="242"/>
      </w:pPr>
      <w:rPr>
        <w:rFonts w:hint="default"/>
        <w:lang w:val="zh-CN" w:eastAsia="zh-CN" w:bidi="zh-CN"/>
      </w:rPr>
    </w:lvl>
    <w:lvl w:ilvl="5">
      <w:start w:val="0"/>
      <w:numFmt w:val="bullet"/>
      <w:lvlText w:val="•"/>
      <w:lvlJc w:val="left"/>
      <w:pPr>
        <w:ind w:left="5804" w:hanging="242"/>
      </w:pPr>
      <w:rPr>
        <w:rFonts w:hint="default"/>
        <w:lang w:val="zh-CN" w:eastAsia="zh-CN" w:bidi="zh-CN"/>
      </w:rPr>
    </w:lvl>
    <w:lvl w:ilvl="6">
      <w:start w:val="0"/>
      <w:numFmt w:val="bullet"/>
      <w:lvlText w:val="•"/>
      <w:lvlJc w:val="left"/>
      <w:pPr>
        <w:ind w:left="6885" w:hanging="242"/>
      </w:pPr>
      <w:rPr>
        <w:rFonts w:hint="default"/>
        <w:lang w:val="zh-CN" w:eastAsia="zh-CN" w:bidi="zh-CN"/>
      </w:rPr>
    </w:lvl>
    <w:lvl w:ilvl="7">
      <w:start w:val="0"/>
      <w:numFmt w:val="bullet"/>
      <w:lvlText w:val="•"/>
      <w:lvlJc w:val="left"/>
      <w:pPr>
        <w:ind w:left="7966" w:hanging="242"/>
      </w:pPr>
      <w:rPr>
        <w:rFonts w:hint="default"/>
        <w:lang w:val="zh-CN" w:eastAsia="zh-CN" w:bidi="zh-CN"/>
      </w:rPr>
    </w:lvl>
    <w:lvl w:ilvl="8">
      <w:start w:val="0"/>
      <w:numFmt w:val="bullet"/>
      <w:lvlText w:val="•"/>
      <w:lvlJc w:val="left"/>
      <w:pPr>
        <w:ind w:left="9047" w:hanging="242"/>
      </w:pPr>
      <w:rPr>
        <w:rFonts w:hint="default"/>
        <w:lang w:val="zh-CN" w:eastAsia="zh-CN" w:bidi="zh-CN"/>
      </w:rPr>
    </w:lvl>
  </w:abstractNum>
  <w:abstractNum w:abstractNumId="2">
    <w:multiLevelType w:val="hybridMultilevel"/>
    <w:lvl w:ilvl="0">
      <w:start w:val="1"/>
      <w:numFmt w:val="decimal"/>
      <w:lvlText w:val="%1."/>
      <w:lvlJc w:val="left"/>
      <w:pPr>
        <w:ind w:left="1482"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53" w:hanging="242"/>
      </w:pPr>
      <w:rPr>
        <w:rFonts w:hint="default"/>
        <w:lang w:val="zh-CN" w:eastAsia="zh-CN" w:bidi="zh-CN"/>
      </w:rPr>
    </w:lvl>
    <w:lvl w:ilvl="2">
      <w:start w:val="0"/>
      <w:numFmt w:val="bullet"/>
      <w:lvlText w:val="•"/>
      <w:lvlJc w:val="left"/>
      <w:pPr>
        <w:ind w:left="3426" w:hanging="242"/>
      </w:pPr>
      <w:rPr>
        <w:rFonts w:hint="default"/>
        <w:lang w:val="zh-CN" w:eastAsia="zh-CN" w:bidi="zh-CN"/>
      </w:rPr>
    </w:lvl>
    <w:lvl w:ilvl="3">
      <w:start w:val="0"/>
      <w:numFmt w:val="bullet"/>
      <w:lvlText w:val="•"/>
      <w:lvlJc w:val="left"/>
      <w:pPr>
        <w:ind w:left="4399" w:hanging="242"/>
      </w:pPr>
      <w:rPr>
        <w:rFonts w:hint="default"/>
        <w:lang w:val="zh-CN" w:eastAsia="zh-CN" w:bidi="zh-CN"/>
      </w:rPr>
    </w:lvl>
    <w:lvl w:ilvl="4">
      <w:start w:val="0"/>
      <w:numFmt w:val="bullet"/>
      <w:lvlText w:val="•"/>
      <w:lvlJc w:val="left"/>
      <w:pPr>
        <w:ind w:left="5372" w:hanging="242"/>
      </w:pPr>
      <w:rPr>
        <w:rFonts w:hint="default"/>
        <w:lang w:val="zh-CN" w:eastAsia="zh-CN" w:bidi="zh-CN"/>
      </w:rPr>
    </w:lvl>
    <w:lvl w:ilvl="5">
      <w:start w:val="0"/>
      <w:numFmt w:val="bullet"/>
      <w:lvlText w:val="•"/>
      <w:lvlJc w:val="left"/>
      <w:pPr>
        <w:ind w:left="6345" w:hanging="242"/>
      </w:pPr>
      <w:rPr>
        <w:rFonts w:hint="default"/>
        <w:lang w:val="zh-CN" w:eastAsia="zh-CN" w:bidi="zh-CN"/>
      </w:rPr>
    </w:lvl>
    <w:lvl w:ilvl="6">
      <w:start w:val="0"/>
      <w:numFmt w:val="bullet"/>
      <w:lvlText w:val="•"/>
      <w:lvlJc w:val="left"/>
      <w:pPr>
        <w:ind w:left="7318" w:hanging="242"/>
      </w:pPr>
      <w:rPr>
        <w:rFonts w:hint="default"/>
        <w:lang w:val="zh-CN" w:eastAsia="zh-CN" w:bidi="zh-CN"/>
      </w:rPr>
    </w:lvl>
    <w:lvl w:ilvl="7">
      <w:start w:val="0"/>
      <w:numFmt w:val="bullet"/>
      <w:lvlText w:val="•"/>
      <w:lvlJc w:val="left"/>
      <w:pPr>
        <w:ind w:left="8291" w:hanging="242"/>
      </w:pPr>
      <w:rPr>
        <w:rFonts w:hint="default"/>
        <w:lang w:val="zh-CN" w:eastAsia="zh-CN" w:bidi="zh-CN"/>
      </w:rPr>
    </w:lvl>
    <w:lvl w:ilvl="8">
      <w:start w:val="0"/>
      <w:numFmt w:val="bullet"/>
      <w:lvlText w:val="•"/>
      <w:lvlJc w:val="left"/>
      <w:pPr>
        <w:ind w:left="9264" w:hanging="242"/>
      </w:pPr>
      <w:rPr>
        <w:rFonts w:hint="default"/>
        <w:lang w:val="zh-CN" w:eastAsia="zh-CN" w:bidi="zh-CN"/>
      </w:rPr>
    </w:lvl>
  </w:abstractNum>
  <w:abstractNum w:abstractNumId="1">
    <w:multiLevelType w:val="hybridMultilevel"/>
    <w:lvl w:ilvl="0">
      <w:start w:val="1"/>
      <w:numFmt w:val="decimal"/>
      <w:lvlText w:val="%1."/>
      <w:lvlJc w:val="left"/>
      <w:pPr>
        <w:ind w:left="600" w:hanging="242"/>
        <w:jc w:val="left"/>
      </w:pPr>
      <w:rPr>
        <w:rFonts w:hint="default" w:ascii="Times New Roman" w:hAnsi="Times New Roman" w:eastAsia="Times New Roman" w:cs="Times New Roman"/>
        <w:b/>
        <w:bCs/>
        <w:spacing w:val="-1"/>
        <w:w w:val="99"/>
        <w:sz w:val="30"/>
        <w:szCs w:val="30"/>
        <w:lang w:val="zh-CN" w:eastAsia="zh-CN" w:bidi="zh-CN"/>
      </w:rPr>
    </w:lvl>
    <w:lvl w:ilvl="1">
      <w:start w:val="0"/>
      <w:numFmt w:val="bullet"/>
      <w:lvlText w:val="•"/>
      <w:lvlJc w:val="left"/>
      <w:pPr>
        <w:ind w:left="1661" w:hanging="242"/>
      </w:pPr>
      <w:rPr>
        <w:rFonts w:hint="default"/>
        <w:lang w:val="zh-CN" w:eastAsia="zh-CN" w:bidi="zh-CN"/>
      </w:rPr>
    </w:lvl>
    <w:lvl w:ilvl="2">
      <w:start w:val="0"/>
      <w:numFmt w:val="bullet"/>
      <w:lvlText w:val="•"/>
      <w:lvlJc w:val="left"/>
      <w:pPr>
        <w:ind w:left="2722" w:hanging="242"/>
      </w:pPr>
      <w:rPr>
        <w:rFonts w:hint="default"/>
        <w:lang w:val="zh-CN" w:eastAsia="zh-CN" w:bidi="zh-CN"/>
      </w:rPr>
    </w:lvl>
    <w:lvl w:ilvl="3">
      <w:start w:val="0"/>
      <w:numFmt w:val="bullet"/>
      <w:lvlText w:val="•"/>
      <w:lvlJc w:val="left"/>
      <w:pPr>
        <w:ind w:left="3783" w:hanging="242"/>
      </w:pPr>
      <w:rPr>
        <w:rFonts w:hint="default"/>
        <w:lang w:val="zh-CN" w:eastAsia="zh-CN" w:bidi="zh-CN"/>
      </w:rPr>
    </w:lvl>
    <w:lvl w:ilvl="4">
      <w:start w:val="0"/>
      <w:numFmt w:val="bullet"/>
      <w:lvlText w:val="•"/>
      <w:lvlJc w:val="left"/>
      <w:pPr>
        <w:ind w:left="4844" w:hanging="242"/>
      </w:pPr>
      <w:rPr>
        <w:rFonts w:hint="default"/>
        <w:lang w:val="zh-CN" w:eastAsia="zh-CN" w:bidi="zh-CN"/>
      </w:rPr>
    </w:lvl>
    <w:lvl w:ilvl="5">
      <w:start w:val="0"/>
      <w:numFmt w:val="bullet"/>
      <w:lvlText w:val="•"/>
      <w:lvlJc w:val="left"/>
      <w:pPr>
        <w:ind w:left="5905" w:hanging="242"/>
      </w:pPr>
      <w:rPr>
        <w:rFonts w:hint="default"/>
        <w:lang w:val="zh-CN" w:eastAsia="zh-CN" w:bidi="zh-CN"/>
      </w:rPr>
    </w:lvl>
    <w:lvl w:ilvl="6">
      <w:start w:val="0"/>
      <w:numFmt w:val="bullet"/>
      <w:lvlText w:val="•"/>
      <w:lvlJc w:val="left"/>
      <w:pPr>
        <w:ind w:left="6966" w:hanging="242"/>
      </w:pPr>
      <w:rPr>
        <w:rFonts w:hint="default"/>
        <w:lang w:val="zh-CN" w:eastAsia="zh-CN" w:bidi="zh-CN"/>
      </w:rPr>
    </w:lvl>
    <w:lvl w:ilvl="7">
      <w:start w:val="0"/>
      <w:numFmt w:val="bullet"/>
      <w:lvlText w:val="•"/>
      <w:lvlJc w:val="left"/>
      <w:pPr>
        <w:ind w:left="8027" w:hanging="242"/>
      </w:pPr>
      <w:rPr>
        <w:rFonts w:hint="default"/>
        <w:lang w:val="zh-CN" w:eastAsia="zh-CN" w:bidi="zh-CN"/>
      </w:rPr>
    </w:lvl>
    <w:lvl w:ilvl="8">
      <w:start w:val="0"/>
      <w:numFmt w:val="bullet"/>
      <w:lvlText w:val="•"/>
      <w:lvlJc w:val="left"/>
      <w:pPr>
        <w:ind w:left="9088" w:hanging="242"/>
      </w:pPr>
      <w:rPr>
        <w:rFonts w:hint="default"/>
        <w:lang w:val="zh-CN" w:eastAsia="zh-CN" w:bidi="zh-CN"/>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仿宋_GBK" w:hAnsi="方正仿宋_GBK" w:eastAsia="方正仿宋_GBK" w:cs="方正仿宋_GBK"/>
      <w:lang w:val="zh-CN" w:eastAsia="zh-CN" w:bidi="zh-CN"/>
    </w:rPr>
  </w:style>
  <w:style w:styleId="BodyText" w:type="paragraph">
    <w:name w:val="Body Text"/>
    <w:basedOn w:val="Normal"/>
    <w:uiPriority w:val="1"/>
    <w:qFormat/>
    <w:pPr/>
    <w:rPr>
      <w:rFonts w:ascii="方正仿宋_GBK" w:hAnsi="方正仿宋_GBK" w:eastAsia="方正仿宋_GBK" w:cs="方正仿宋_GBK"/>
      <w:sz w:val="32"/>
      <w:szCs w:val="32"/>
      <w:lang w:val="zh-CN" w:eastAsia="zh-CN" w:bidi="zh-CN"/>
    </w:rPr>
  </w:style>
  <w:style w:styleId="Heading1" w:type="paragraph">
    <w:name w:val="Heading 1"/>
    <w:basedOn w:val="Normal"/>
    <w:uiPriority w:val="1"/>
    <w:qFormat/>
    <w:pPr>
      <w:spacing w:before="25"/>
      <w:ind w:left="600" w:hanging="241"/>
      <w:outlineLvl w:val="1"/>
    </w:pPr>
    <w:rPr>
      <w:rFonts w:ascii="方正仿宋_GBK" w:hAnsi="方正仿宋_GBK" w:eastAsia="方正仿宋_GBK" w:cs="方正仿宋_GBK"/>
      <w:b/>
      <w:bCs/>
      <w:sz w:val="32"/>
      <w:szCs w:val="32"/>
      <w:lang w:val="zh-CN" w:eastAsia="zh-CN" w:bidi="zh-CN"/>
    </w:rPr>
  </w:style>
  <w:style w:styleId="ListParagraph" w:type="paragraph">
    <w:name w:val="List Paragraph"/>
    <w:basedOn w:val="Normal"/>
    <w:uiPriority w:val="1"/>
    <w:qFormat/>
    <w:pPr>
      <w:ind w:left="600" w:right="1058" w:firstLine="640"/>
    </w:pPr>
    <w:rPr>
      <w:rFonts w:ascii="方正仿宋_GBK" w:hAnsi="方正仿宋_GBK" w:eastAsia="方正仿宋_GBK" w:cs="方正仿宋_GBK"/>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7.jpeg"/><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itle>成财库〔2014〕14号</dc:title>
  <dcterms:created xsi:type="dcterms:W3CDTF">2021-05-20T09:05:29Z</dcterms:created>
  <dcterms:modified xsi:type="dcterms:W3CDTF">2021-05-20T09:05:29Z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WPS 文字</vt:lpwstr>
  </property>
  <property fmtid="{D5CDD505-2E9C-101B-9397-08002B2CF9AE}" pid="4" name="LastSaved">
    <vt:filetime>2021-05-20T00:00:00Z</vt:filetime>
  </property>
</Properties>
</file>